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庫存調撥作業規範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ZR-INV-SOP-014</w:t>
            </w:r>
          </w:p>
        </w:tc>
        <w:tc>
          <w:tcPr>
            <w:tcW w:type="dxa" w:w="2436"/>
          </w:tcPr>
          <w:p>
            <w:r>
              <w:t>v2.1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庫存與收貨控制組</w:t>
            </w:r>
          </w:p>
        </w:tc>
      </w:tr>
    </w:tbl>
    <w:p/>
    <w:p>
      <w:r>
        <w:rPr>
          <w:b w:val="0"/>
        </w:rPr>
        <w:t>基準日 2026-10-12。本檔期（開賣日 2026-11-06）上架死線為開賣前一日 T-1：2026-11-05。</w:t>
      </w:r>
    </w:p>
    <w:p>
      <w:pPr>
        <w:pStyle w:val="Heading1"/>
      </w:pPr>
      <w:r>
        <w:t>一、目的與適用範圍</w:t>
      </w:r>
    </w:p>
    <w:p>
      <w:pPr>
        <w:pStyle w:val="ListBullet"/>
      </w:pPr>
      <w:r>
        <w:t>規範配送中心（DC）至門市、門市至門市的庫存調撥時效、條件與核准流程。</w:t>
      </w:r>
    </w:p>
    <w:p>
      <w:pPr>
        <w:pStyle w:val="ListBullet"/>
      </w:pPr>
      <w:r>
        <w:t>適用於全區門市與桃園 DC 的檔期備貨與缺貨補救。</w:t>
      </w:r>
    </w:p>
    <w:p>
      <w:pPr>
        <w:pStyle w:val="Heading1"/>
      </w:pPr>
      <w:r>
        <w:t>二、名詞定義</w:t>
      </w:r>
    </w:p>
    <w:p>
      <w:pPr>
        <w:pStyle w:val="ListBullet"/>
      </w:pPr>
      <w:r>
        <w:t>上架死線：開賣前一日（T-1），商品須已在門市銷售區可供銷售。</w:t>
      </w:r>
    </w:p>
    <w:p>
      <w:pPr>
        <w:pStyle w:val="ListBullet"/>
      </w:pPr>
      <w:r>
        <w:t>隔離區庫存：收貨後待品質抽驗或標示核對的庫存，庫位為 RCV 開頭；須完成放行方可揀貨出庫。</w:t>
      </w:r>
    </w:p>
    <w:p>
      <w:pPr>
        <w:pStyle w:val="ListBullet"/>
      </w:pPr>
      <w:r>
        <w:t>放行日：隔離單狀態改為已放行的日期；當日即可揀貨出庫。</w:t>
      </w:r>
    </w:p>
    <w:p>
      <w:pPr>
        <w:pStyle w:val="ListBullet"/>
      </w:pPr>
      <w:r>
        <w:t>過量庫存：門市現有庫存扣除未來 14 日預估需求後的剩餘件數；過量庫存達 30 件以上才列為可調出。</w:t>
      </w:r>
    </w:p>
    <w:p>
      <w:pPr>
        <w:pStyle w:val="Heading1"/>
      </w:pPr>
      <w:r>
        <w:t>三、調撥時效</w:t>
      </w:r>
    </w:p>
    <w:p>
      <w:pPr>
        <w:pStyle w:val="ListBullet"/>
      </w:pPr>
      <w:r>
        <w:t>DC → 門市：自放行日（或庫存可出庫日）起算 2 日到店。</w:t>
      </w:r>
    </w:p>
    <w:p>
      <w:pPr>
        <w:pStyle w:val="ListBullet"/>
      </w:pPr>
      <w:r>
        <w:t>門市 → 門市：自核准日起算 1 日到店。</w:t>
      </w:r>
    </w:p>
    <w:p>
      <w:pPr>
        <w:pStyle w:val="ListBullet"/>
      </w:pPr>
      <w:r>
        <w:t>到店日晚於上架死線者，不得以該來源列入檔期備貨計畫。</w:t>
      </w:r>
    </w:p>
    <w:p>
      <w:pPr>
        <w:pStyle w:val="Heading1"/>
      </w:pPr>
      <w:r>
        <w:t>四、店間調撥條件</w:t>
      </w:r>
    </w:p>
    <w:p>
      <w:pPr>
        <w:pStyle w:val="ListBullet"/>
      </w:pPr>
      <w:r>
        <w:t>調出店須有過量庫存，且調出件數不得超過其過量庫存。</w:t>
      </w:r>
    </w:p>
    <w:p>
      <w:pPr>
        <w:pStyle w:val="ListBullet"/>
      </w:pPr>
      <w:r>
        <w:t>調出、調入雙方店長需同意，並由區域營運部於 OMS 建立調撥單。</w:t>
      </w:r>
    </w:p>
    <w:p>
      <w:pPr>
        <w:pStyle w:val="ListBullet"/>
      </w:pPr>
      <w:r>
        <w:t>同一 SKU 可由多家調出店合併供應。</w:t>
      </w:r>
    </w:p>
    <w:p>
      <w:pPr>
        <w:pStyle w:val="Heading1"/>
      </w:pPr>
      <w:r>
        <w:t>五、核准與紀錄</w:t>
      </w:r>
    </w:p>
    <w:p>
      <w:pPr>
        <w:pStyle w:val="ListBullet"/>
      </w:pPr>
      <w:r>
        <w:t>調撥單由庫存與收貨控制組建立，區域營運部核准。</w:t>
      </w:r>
    </w:p>
    <w:p>
      <w:pPr>
        <w:pStyle w:val="ListBullet"/>
      </w:pPr>
      <w:r>
        <w:t>異動紀錄保存 2 年。</w:t>
      </w:r>
    </w:p>
    <w:p>
      <w:pPr>
        <w:pStyle w:val="Heading1"/>
      </w:pPr>
      <w:r>
        <w:t>六、版本記錄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日期</w:t>
            </w:r>
          </w:p>
        </w:tc>
        <w:tc>
          <w:tcPr>
            <w:tcW w:type="dxa" w:w="3249"/>
          </w:tcPr>
          <w:p>
            <w:r>
              <w:t>說明</w:t>
            </w:r>
          </w:p>
        </w:tc>
      </w:tr>
      <w:tr>
        <w:tc>
          <w:tcPr>
            <w:tcW w:type="dxa" w:w="3249"/>
          </w:tcPr>
          <w:p>
            <w:r>
              <w:t>v2.0</w:t>
            </w:r>
          </w:p>
        </w:tc>
        <w:tc>
          <w:tcPr>
            <w:tcW w:type="dxa" w:w="3249"/>
          </w:tcPr>
          <w:p>
            <w:r>
              <w:t>2026-03-01</w:t>
            </w:r>
          </w:p>
        </w:tc>
        <w:tc>
          <w:tcPr>
            <w:tcW w:type="dxa" w:w="3249"/>
          </w:tcPr>
          <w:p>
            <w:r>
              <w:t>新增店間調撥條件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新增隔離區庫存出庫規則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