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D"/>
          <w:sz w:val="40"/>
        </w:rPr>
        <w:t>库存调拨作业规范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文件编号</w:t>
            </w:r>
          </w:p>
        </w:tc>
        <w:tc>
          <w:tcPr>
            <w:tcW w:type="dxa" w:w="2436"/>
          </w:tcPr>
          <w:p>
            <w:r>
              <w:t>版本</w:t>
            </w:r>
          </w:p>
        </w:tc>
        <w:tc>
          <w:tcPr>
            <w:tcW w:type="dxa" w:w="2436"/>
          </w:tcPr>
          <w:p>
            <w:r>
              <w:t>生效日</w:t>
            </w:r>
          </w:p>
        </w:tc>
        <w:tc>
          <w:tcPr>
            <w:tcW w:type="dxa" w:w="2436"/>
          </w:tcPr>
          <w:p>
            <w:r>
              <w:t>承办单位</w:t>
            </w:r>
          </w:p>
        </w:tc>
      </w:tr>
      <w:tr>
        <w:tc>
          <w:tcPr>
            <w:tcW w:type="dxa" w:w="2436"/>
          </w:tcPr>
          <w:p>
            <w:r>
              <w:t>ZR-INV-SOP-014</w:t>
            </w:r>
          </w:p>
        </w:tc>
        <w:tc>
          <w:tcPr>
            <w:tcW w:type="dxa" w:w="2436"/>
          </w:tcPr>
          <w:p>
            <w:r>
              <w:t>v2.1</w:t>
            </w:r>
          </w:p>
        </w:tc>
        <w:tc>
          <w:tcPr>
            <w:tcW w:type="dxa" w:w="2436"/>
          </w:tcPr>
          <w:p>
            <w:r>
              <w:t>2026-07-01</w:t>
            </w:r>
          </w:p>
        </w:tc>
        <w:tc>
          <w:tcPr>
            <w:tcW w:type="dxa" w:w="2436"/>
          </w:tcPr>
          <w:p>
            <w:r>
              <w:t>库存与收货控制组</w:t>
            </w:r>
          </w:p>
        </w:tc>
      </w:tr>
    </w:tbl>
    <w:p/>
    <w:p>
      <w:r>
        <w:rPr>
          <w:b w:val="0"/>
        </w:rPr>
        <w:t>基准日 2026-10-12。本档期（开卖日 2026-11-06）上架死线为开卖前一日 T-1：2026-11-05。</w:t>
      </w:r>
    </w:p>
    <w:p>
      <w:pPr>
        <w:pStyle w:val="Heading1"/>
      </w:pPr>
      <w:r>
        <w:t>一、目的与适用范围</w:t>
      </w:r>
    </w:p>
    <w:p>
      <w:pPr>
        <w:pStyle w:val="ListBullet"/>
      </w:pPr>
      <w:r>
        <w:t>规范配送中心（DC）至门店、门店至门店的库存调拨时效、条件与审批流程。</w:t>
      </w:r>
    </w:p>
    <w:p>
      <w:pPr>
        <w:pStyle w:val="ListBullet"/>
      </w:pPr>
      <w:r>
        <w:t>适用于全区门店与桃园 DC 的档期备货与缺货补救。</w:t>
      </w:r>
    </w:p>
    <w:p>
      <w:pPr>
        <w:pStyle w:val="Heading1"/>
      </w:pPr>
      <w:r>
        <w:t>二、名词定义</w:t>
      </w:r>
    </w:p>
    <w:p>
      <w:pPr>
        <w:pStyle w:val="ListBullet"/>
      </w:pPr>
      <w:r>
        <w:t>上架死线：开卖前一日（T-1），商品须已在门店销售区可供销售。</w:t>
      </w:r>
    </w:p>
    <w:p>
      <w:pPr>
        <w:pStyle w:val="ListBullet"/>
      </w:pPr>
      <w:r>
        <w:t>隔离区库存：收货后待质量抽检或标示核对的库存，库位为 RCV 开头；须完成放行方可拣货出库。</w:t>
      </w:r>
    </w:p>
    <w:p>
      <w:pPr>
        <w:pStyle w:val="ListBullet"/>
      </w:pPr>
      <w:r>
        <w:t>放行日：隔离单状态改为已放行的日期；当日即可拣货出库。</w:t>
      </w:r>
    </w:p>
    <w:p>
      <w:pPr>
        <w:pStyle w:val="ListBullet"/>
      </w:pPr>
      <w:r>
        <w:t>过量库存：门店现有库存扣除未来 14 日预估需求后的剩余件数；过量库存达 30 件以上才列为可调出。</w:t>
      </w:r>
    </w:p>
    <w:p>
      <w:pPr>
        <w:pStyle w:val="Heading1"/>
      </w:pPr>
      <w:r>
        <w:t>三、调拨时效</w:t>
      </w:r>
    </w:p>
    <w:p>
      <w:pPr>
        <w:pStyle w:val="ListBullet"/>
      </w:pPr>
      <w:r>
        <w:t>DC → 门店：自放行日（或库存可出库日）起算 2 日到店。</w:t>
      </w:r>
    </w:p>
    <w:p>
      <w:pPr>
        <w:pStyle w:val="ListBullet"/>
      </w:pPr>
      <w:r>
        <w:t>门店 → 门店：自批准日起算 1 日到店。</w:t>
      </w:r>
    </w:p>
    <w:p>
      <w:pPr>
        <w:pStyle w:val="ListBullet"/>
      </w:pPr>
      <w:r>
        <w:t>到店日晚于上架死线者，不得以该来源列入档期备货计划。</w:t>
      </w:r>
    </w:p>
    <w:p>
      <w:pPr>
        <w:pStyle w:val="Heading1"/>
      </w:pPr>
      <w:r>
        <w:t>四、店间调拨条件</w:t>
      </w:r>
    </w:p>
    <w:p>
      <w:pPr>
        <w:pStyle w:val="ListBullet"/>
      </w:pPr>
      <w:r>
        <w:t>调出店须有过量库存，且调出件数不得超过其过量库存。</w:t>
      </w:r>
    </w:p>
    <w:p>
      <w:pPr>
        <w:pStyle w:val="ListBullet"/>
      </w:pPr>
      <w:r>
        <w:t>调出、调入双方店长需同意，并由区域运营部在 OMS 建立调拨单。</w:t>
      </w:r>
    </w:p>
    <w:p>
      <w:pPr>
        <w:pStyle w:val="ListBullet"/>
      </w:pPr>
      <w:r>
        <w:t>同一 SKU 可由多家调出店合并供应。</w:t>
      </w:r>
    </w:p>
    <w:p>
      <w:pPr>
        <w:pStyle w:val="Heading1"/>
      </w:pPr>
      <w:r>
        <w:t>五、审批与记录</w:t>
      </w:r>
    </w:p>
    <w:p>
      <w:pPr>
        <w:pStyle w:val="ListBullet"/>
      </w:pPr>
      <w:r>
        <w:t>调拨单由库存与收货控制组建立，区域运营部批准。</w:t>
      </w:r>
    </w:p>
    <w:p>
      <w:pPr>
        <w:pStyle w:val="ListBullet"/>
      </w:pPr>
      <w:r>
        <w:t>异动记录保存 2 年。</w:t>
      </w:r>
    </w:p>
    <w:p>
      <w:pPr>
        <w:pStyle w:val="Heading1"/>
      </w:pPr>
      <w:r>
        <w:t>六、版本记录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版本</w:t>
            </w:r>
          </w:p>
        </w:tc>
        <w:tc>
          <w:tcPr>
            <w:tcW w:type="dxa" w:w="3249"/>
          </w:tcPr>
          <w:p>
            <w:r>
              <w:t>日期</w:t>
            </w:r>
          </w:p>
        </w:tc>
        <w:tc>
          <w:tcPr>
            <w:tcW w:type="dxa" w:w="3249"/>
          </w:tcPr>
          <w:p>
            <w:r>
              <w:t>说明</w:t>
            </w:r>
          </w:p>
        </w:tc>
      </w:tr>
      <w:tr>
        <w:tc>
          <w:tcPr>
            <w:tcW w:type="dxa" w:w="3249"/>
          </w:tcPr>
          <w:p>
            <w:r>
              <w:t>v2.0</w:t>
            </w:r>
          </w:p>
        </w:tc>
        <w:tc>
          <w:tcPr>
            <w:tcW w:type="dxa" w:w="3249"/>
          </w:tcPr>
          <w:p>
            <w:r>
              <w:t>2026-03-01</w:t>
            </w:r>
          </w:p>
        </w:tc>
        <w:tc>
          <w:tcPr>
            <w:tcW w:type="dxa" w:w="3249"/>
          </w:tcPr>
          <w:p>
            <w:r>
              <w:t>新增店间调拨条件</w:t>
            </w:r>
          </w:p>
        </w:tc>
      </w:tr>
      <w:tr>
        <w:tc>
          <w:tcPr>
            <w:tcW w:type="dxa" w:w="3249"/>
          </w:tcPr>
          <w:p>
            <w:r>
              <w:t>v2.1</w:t>
            </w:r>
          </w:p>
        </w:tc>
        <w:tc>
          <w:tcPr>
            <w:tcW w:type="dxa" w:w="3249"/>
          </w:tcPr>
          <w:p>
            <w:r>
              <w:t>2026-07-01</w:t>
            </w:r>
          </w:p>
        </w:tc>
        <w:tc>
          <w:tcPr>
            <w:tcW w:type="dxa" w:w="3249"/>
          </w:tcPr>
          <w:p>
            <w:r>
              <w:t>新增隔离区库存出库规则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Zava 零售　内部文件，请勿外传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