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B4D"/>
          <w:sz w:val="40"/>
        </w:rPr>
        <w:t>Inventory Transfer Procedure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r>
              <w:t>Doc. No.</w:t>
            </w:r>
          </w:p>
        </w:tc>
        <w:tc>
          <w:tcPr>
            <w:tcW w:type="dxa" w:w="2436"/>
          </w:tcPr>
          <w:p>
            <w:r>
              <w:t>Version</w:t>
            </w:r>
          </w:p>
        </w:tc>
        <w:tc>
          <w:tcPr>
            <w:tcW w:type="dxa" w:w="2436"/>
          </w:tcPr>
          <w:p>
            <w:r>
              <w:t>Effective</w:t>
            </w:r>
          </w:p>
        </w:tc>
        <w:tc>
          <w:tcPr>
            <w:tcW w:type="dxa" w:w="2436"/>
          </w:tcPr>
          <w:p>
            <w:r>
              <w:t>Owner</w:t>
            </w:r>
          </w:p>
        </w:tc>
      </w:tr>
      <w:tr>
        <w:tc>
          <w:tcPr>
            <w:tcW w:type="dxa" w:w="2436"/>
          </w:tcPr>
          <w:p>
            <w:r>
              <w:t>ZR-INV-SOP-014</w:t>
            </w:r>
          </w:p>
        </w:tc>
        <w:tc>
          <w:tcPr>
            <w:tcW w:type="dxa" w:w="2436"/>
          </w:tcPr>
          <w:p>
            <w:r>
              <w:t>v2.1</w:t>
            </w:r>
          </w:p>
        </w:tc>
        <w:tc>
          <w:tcPr>
            <w:tcW w:type="dxa" w:w="2436"/>
          </w:tcPr>
          <w:p>
            <w:r>
              <w:t>2026-07-01</w:t>
            </w:r>
          </w:p>
        </w:tc>
        <w:tc>
          <w:tcPr>
            <w:tcW w:type="dxa" w:w="2436"/>
          </w:tcPr>
          <w:p>
            <w:r>
              <w:t>Inventory &amp; Receiving Control</w:t>
            </w:r>
          </w:p>
        </w:tc>
      </w:tr>
    </w:tbl>
    <w:p/>
    <w:p>
      <w:r>
        <w:rPr>
          <w:b w:val="0"/>
        </w:rPr>
        <w:t>Reference date 2026-10-12. For this campaign (launch 2026-11-06) the shelf deadline is T-1: 2026-11-05.</w:t>
      </w:r>
    </w:p>
    <w:p>
      <w:pPr>
        <w:pStyle w:val="Heading1"/>
      </w:pPr>
      <w:r>
        <w:t>1. Purpose and scope</w:t>
      </w:r>
    </w:p>
    <w:p>
      <w:pPr>
        <w:pStyle w:val="ListBullet"/>
      </w:pPr>
      <w:r>
        <w:t>Sets transfer lead times, conditions and approval flow for DC-to-store and store-to-store stock transfers.</w:t>
      </w:r>
    </w:p>
    <w:p>
      <w:pPr>
        <w:pStyle w:val="ListBullet"/>
      </w:pPr>
      <w:r>
        <w:t>Applies to all stores and the Taoyuan DC for campaign stocking and stock-out recovery.</w:t>
      </w:r>
    </w:p>
    <w:p>
      <w:pPr>
        <w:pStyle w:val="Heading1"/>
      </w:pPr>
      <w:r>
        <w:t>2. Definitions</w:t>
      </w:r>
    </w:p>
    <w:p>
      <w:pPr>
        <w:pStyle w:val="ListBullet"/>
      </w:pPr>
      <w:r>
        <w:t>Shelf deadline: the day before launch (T-1); goods must be on the sales floor and sellable.</w:t>
      </w:r>
    </w:p>
    <w:p>
      <w:pPr>
        <w:pStyle w:val="ListBullet"/>
      </w:pPr>
      <w:r>
        <w:t>Quarantined stock: received stock awaiting quality sampling or label checks, held in RCV bin zones; it cannot be picked until released.</w:t>
      </w:r>
    </w:p>
    <w:p>
      <w:pPr>
        <w:pStyle w:val="ListBullet"/>
      </w:pPr>
      <w:r>
        <w:t>Release date: the date a hold changes to Released; the stock can be picked that day.</w:t>
      </w:r>
    </w:p>
    <w:p>
      <w:pPr>
        <w:pStyle w:val="ListBullet"/>
      </w:pPr>
      <w:r>
        <w:t>Surplus stock: store on-hand minus the next 14 days' forecast demand; only surplus of 30 units or more can be transferred out.</w:t>
      </w:r>
    </w:p>
    <w:p>
      <w:pPr>
        <w:pStyle w:val="Heading1"/>
      </w:pPr>
      <w:r>
        <w:t>3. Transfer lead times</w:t>
      </w:r>
    </w:p>
    <w:p>
      <w:pPr>
        <w:pStyle w:val="ListBullet"/>
      </w:pPr>
      <w:r>
        <w:t>DC to store: 2 days from the release date (or the date the stock can be shipped) to arrival.</w:t>
      </w:r>
    </w:p>
    <w:p>
      <w:pPr>
        <w:pStyle w:val="ListBullet"/>
      </w:pPr>
      <w:r>
        <w:t>Store to store: 1 day from approval to arrival.</w:t>
      </w:r>
    </w:p>
    <w:p>
      <w:pPr>
        <w:pStyle w:val="ListBullet"/>
      </w:pPr>
      <w:r>
        <w:t>A source whose arrival date is later than the shelf deadline cannot be counted in the campaign stocking plan.</w:t>
      </w:r>
    </w:p>
    <w:p>
      <w:pPr>
        <w:pStyle w:val="Heading1"/>
      </w:pPr>
      <w:r>
        <w:t>4. Store-to-store conditions</w:t>
      </w:r>
    </w:p>
    <w:p>
      <w:pPr>
        <w:pStyle w:val="ListBullet"/>
      </w:pPr>
      <w:r>
        <w:t>The sending store must hold surplus stock, and the quantity cannot exceed its surplus.</w:t>
      </w:r>
    </w:p>
    <w:p>
      <w:pPr>
        <w:pStyle w:val="ListBullet"/>
      </w:pPr>
      <w:r>
        <w:t>Both store managers must agree; Regional Operations raises the transfer order in OMS.</w:t>
      </w:r>
    </w:p>
    <w:p>
      <w:pPr>
        <w:pStyle w:val="ListBullet"/>
      </w:pPr>
      <w:r>
        <w:t>Several sending stores may combine to supply one SKU.</w:t>
      </w:r>
    </w:p>
    <w:p>
      <w:pPr>
        <w:pStyle w:val="Heading1"/>
      </w:pPr>
      <w:r>
        <w:t>5. Approval and records</w:t>
      </w:r>
    </w:p>
    <w:p>
      <w:pPr>
        <w:pStyle w:val="ListBullet"/>
      </w:pPr>
      <w:r>
        <w:t>Transfer orders are raised by Inventory &amp; Receiving Control and approved by Regional Operations.</w:t>
      </w:r>
    </w:p>
    <w:p>
      <w:pPr>
        <w:pStyle w:val="ListBullet"/>
      </w:pPr>
      <w:r>
        <w:t>Movement records are kept for 2 years.</w:t>
      </w:r>
    </w:p>
    <w:p>
      <w:pPr>
        <w:pStyle w:val="Heading1"/>
      </w:pPr>
      <w:r>
        <w:t>6. Revision history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r>
              <w:t>Version</w:t>
            </w:r>
          </w:p>
        </w:tc>
        <w:tc>
          <w:tcPr>
            <w:tcW w:type="dxa" w:w="3249"/>
          </w:tcPr>
          <w:p>
            <w:r>
              <w:t>Date</w:t>
            </w:r>
          </w:p>
        </w:tc>
        <w:tc>
          <w:tcPr>
            <w:tcW w:type="dxa" w:w="3249"/>
          </w:tcPr>
          <w:p>
            <w:r>
              <w:t>Description</w:t>
            </w:r>
          </w:p>
        </w:tc>
      </w:tr>
      <w:tr>
        <w:tc>
          <w:tcPr>
            <w:tcW w:type="dxa" w:w="3249"/>
          </w:tcPr>
          <w:p>
            <w:r>
              <w:t>v2.0</w:t>
            </w:r>
          </w:p>
        </w:tc>
        <w:tc>
          <w:tcPr>
            <w:tcW w:type="dxa" w:w="3249"/>
          </w:tcPr>
          <w:p>
            <w:r>
              <w:t>2026-03-01</w:t>
            </w:r>
          </w:p>
        </w:tc>
        <w:tc>
          <w:tcPr>
            <w:tcW w:type="dxa" w:w="3249"/>
          </w:tcPr>
          <w:p>
            <w:r>
              <w:t>Added store-to-store conditions</w:t>
            </w:r>
          </w:p>
        </w:tc>
      </w:tr>
      <w:tr>
        <w:tc>
          <w:tcPr>
            <w:tcW w:type="dxa" w:w="3249"/>
          </w:tcPr>
          <w:p>
            <w:r>
              <w:t>v2.1</w:t>
            </w:r>
          </w:p>
        </w:tc>
        <w:tc>
          <w:tcPr>
            <w:tcW w:type="dxa" w:w="3249"/>
          </w:tcPr>
          <w:p>
            <w:r>
              <w:t>2026-07-01</w:t>
            </w:r>
          </w:p>
        </w:tc>
        <w:tc>
          <w:tcPr>
            <w:tcW w:type="dxa" w:w="3249"/>
          </w:tcPr>
          <w:p>
            <w:r>
              <w:t>Added quarantined-stock outbound rule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Zava Retail  Internal use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egoe UI" w:hAnsi="Segoe UI" w:eastAsia="Segoe UI"/>
      <w:b/>
      <w:bCs/>
      <w:color w:val="142B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