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採購合約　索賠條款（摘錄）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ZR-PUR-CT-2610-007</w:t>
            </w:r>
          </w:p>
        </w:tc>
        <w:tc>
          <w:tcPr>
            <w:tcW w:type="dxa" w:w="2436"/>
          </w:tcPr>
          <w:p>
            <w:r>
              <w:t>v3.0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採購部</w:t>
            </w:r>
          </w:p>
        </w:tc>
      </w:tr>
    </w:tbl>
    <w:p/>
    <w:p>
      <w:r>
        <w:rPr>
          <w:b w:val="0"/>
        </w:rPr>
        <w:t>本文件摘錄 Zava 零售與 Northwind Foods 簽訂之年度採購合約中與收貨驗收、短收索賠及檔期促銷有關的條款。</w:t>
      </w:r>
    </w:p>
    <w:p>
      <w:pPr>
        <w:pStyle w:val="Heading1"/>
      </w:pPr>
      <w:r>
        <w:t>第 5 條　交貨與驗收</w:t>
      </w:r>
    </w:p>
    <w:p>
      <w:pPr>
        <w:pStyle w:val="ListBullet"/>
      </w:pPr>
      <w:r>
        <w:t>供應商應於預先出貨通知（ASN）載明之數量與日期交貨。</w:t>
      </w:r>
    </w:p>
    <w:p>
      <w:pPr>
        <w:pStyle w:val="ListBullet"/>
      </w:pPr>
      <w:r>
        <w:t>Zava 於配送中心收貨時點收，並於收貨單記錄實收數量；實收數量為驗收依據。</w:t>
      </w:r>
    </w:p>
    <w:p>
      <w:pPr>
        <w:pStyle w:val="Heading1"/>
      </w:pPr>
      <w:r>
        <w:t>第 6 條　價格與開立發票</w:t>
      </w:r>
    </w:p>
    <w:p>
      <w:pPr>
        <w:pStyle w:val="ListBullet"/>
      </w:pPr>
      <w:r>
        <w:t>商品單價依附件一合約單價表。</w:t>
      </w:r>
    </w:p>
    <w:p>
      <w:pPr>
        <w:pStyle w:val="ListBullet"/>
      </w:pPr>
      <w:r>
        <w:t>供應商依實收且計價之數量開立發票；發票金額 = 計價數量 × 合約單價。</w:t>
      </w:r>
    </w:p>
    <w:p>
      <w:pPr>
        <w:pStyle w:val="Heading1"/>
      </w:pPr>
      <w:r>
        <w:t>第 7 條　短收與索賠</w:t>
      </w:r>
    </w:p>
    <w:p>
      <w:pPr>
        <w:pStyle w:val="ListBullet"/>
      </w:pPr>
      <w:r>
        <w:t>7.1 短收件數 = ASN 數量 − 實收數量。</w:t>
      </w:r>
    </w:p>
    <w:p>
      <w:pPr>
        <w:pStyle w:val="ListBullet"/>
      </w:pPr>
      <w:r>
        <w:t>7.2 短收件數達 50 件，或短收比例達 5% 者，Zava 得向供應商索賠（兩者任一成立即可）。</w:t>
      </w:r>
    </w:p>
    <w:p>
      <w:pPr>
        <w:pStyle w:val="ListBullet"/>
      </w:pPr>
      <w:r>
        <w:t>7.3 索賠應於收貨後 30 日內以書面向供應商窗口提出；逾期視為接受。</w:t>
      </w:r>
    </w:p>
    <w:p>
      <w:pPr>
        <w:pStyle w:val="ListBullet"/>
      </w:pPr>
      <w:r>
        <w:t>7.4 索賠金額 = 短收件數 × 合約單價；供應商應於收到索賠後 14 日內回覆。</w:t>
      </w:r>
    </w:p>
    <w:p>
      <w:pPr>
        <w:pStyle w:val="Heading1"/>
      </w:pPr>
      <w:r>
        <w:t>第 8 條　付款</w:t>
      </w:r>
    </w:p>
    <w:p>
      <w:pPr>
        <w:pStyle w:val="ListBullet"/>
      </w:pPr>
      <w:r>
        <w:t>月結 45 天；索賠金額得自應付帳款抵扣。</w:t>
      </w:r>
    </w:p>
    <w:p>
      <w:pPr>
        <w:pStyle w:val="Heading1"/>
      </w:pPr>
      <w:r>
        <w:t>附件一　合約單價表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SKU</w:t>
            </w:r>
          </w:p>
        </w:tc>
        <w:tc>
          <w:tcPr>
            <w:tcW w:type="dxa" w:w="3249"/>
          </w:tcPr>
          <w:p>
            <w:r>
              <w:t>品名</w:t>
            </w:r>
          </w:p>
        </w:tc>
        <w:tc>
          <w:tcPr>
            <w:tcW w:type="dxa" w:w="3249"/>
          </w:tcPr>
          <w:p>
            <w:r>
              <w:t>單價（元）</w:t>
            </w:r>
          </w:p>
        </w:tc>
      </w:tr>
      <w:tr>
        <w:tc>
          <w:tcPr>
            <w:tcW w:type="dxa" w:w="3249"/>
          </w:tcPr>
          <w:p>
            <w:r>
              <w:t>SKU-10482</w:t>
            </w:r>
          </w:p>
        </w:tc>
        <w:tc>
          <w:tcPr>
            <w:tcW w:type="dxa" w:w="3249"/>
          </w:tcPr>
          <w:p>
            <w:r>
              <w:t>保鮮盒組</w:t>
            </w:r>
          </w:p>
        </w:tc>
        <w:tc>
          <w:tcPr>
            <w:tcW w:type="dxa" w:w="3249"/>
          </w:tcPr>
          <w:p>
            <w:r>
              <w:t>185</w:t>
            </w:r>
          </w:p>
        </w:tc>
      </w:tr>
      <w:tr>
        <w:tc>
          <w:tcPr>
            <w:tcW w:type="dxa" w:w="3249"/>
          </w:tcPr>
          <w:p>
            <w:r>
              <w:t>SKU-10517</w:t>
            </w:r>
          </w:p>
        </w:tc>
        <w:tc>
          <w:tcPr>
            <w:tcW w:type="dxa" w:w="3249"/>
          </w:tcPr>
          <w:p>
            <w:r>
              <w:t>收納籃</w:t>
            </w:r>
          </w:p>
        </w:tc>
        <w:tc>
          <w:tcPr>
            <w:tcW w:type="dxa" w:w="3249"/>
          </w:tcPr>
          <w:p>
            <w:r>
              <w:t>120</w:t>
            </w:r>
          </w:p>
        </w:tc>
      </w:tr>
    </w:tbl>
    <w:p/>
    <w:p>
      <w:pPr>
        <w:pStyle w:val="Heading1"/>
      </w:pPr>
      <w:r>
        <w:t>附件二　檔期促銷搭贈品作業約定</w:t>
      </w:r>
    </w:p>
    <w:p>
      <w:pPr>
        <w:pStyle w:val="ListBullet"/>
      </w:pPr>
      <w:r>
        <w:t>適用於 Zava 週年慶等檔期促銷；檔期搭贈品免計價、不開發票。</w:t>
      </w:r>
    </w:p>
    <w:p>
      <w:pPr>
        <w:pStyle w:val="ListBullet"/>
      </w:pPr>
      <w:r>
        <w:t>贈品件數須列入 ASN 數量並計入收貨數量。</w:t>
      </w:r>
    </w:p>
    <w:p>
      <w:pPr>
        <w:pStyle w:val="ListBullet"/>
      </w:pPr>
      <w:r>
        <w:t>贈品件數由雙方於檔期開始前以書面確認。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