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Purchase Contract  Claim Terms (Extract)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Doc. No.</w:t>
            </w:r>
          </w:p>
        </w:tc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Effective</w:t>
            </w:r>
          </w:p>
        </w:tc>
        <w:tc>
          <w:tcPr>
            <w:tcW w:type="dxa" w:w="2436"/>
          </w:tcPr>
          <w:p>
            <w:r>
              <w:t>Owner</w:t>
            </w:r>
          </w:p>
        </w:tc>
      </w:tr>
      <w:tr>
        <w:tc>
          <w:tcPr>
            <w:tcW w:type="dxa" w:w="2436"/>
          </w:tcPr>
          <w:p>
            <w:r>
              <w:t>ZR-PUR-CT-2610-007</w:t>
            </w:r>
          </w:p>
        </w:tc>
        <w:tc>
          <w:tcPr>
            <w:tcW w:type="dxa" w:w="2436"/>
          </w:tcPr>
          <w:p>
            <w:r>
              <w:t>v3.0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Procurement</w:t>
            </w:r>
          </w:p>
        </w:tc>
      </w:tr>
    </w:tbl>
    <w:p/>
    <w:p>
      <w:r>
        <w:rPr>
          <w:b w:val="0"/>
        </w:rPr>
        <w:t>This document extracts the clauses of the annual purchase contract between Zava Retail and Northwind Foods that cover receiving, short-receipt claims and campaign promotions.</w:t>
      </w:r>
    </w:p>
    <w:p>
      <w:pPr>
        <w:pStyle w:val="Heading1"/>
      </w:pPr>
      <w:r>
        <w:t>Clause 5  Delivery and acceptance</w:t>
      </w:r>
    </w:p>
    <w:p>
      <w:pPr>
        <w:pStyle w:val="ListBullet"/>
      </w:pPr>
      <w:r>
        <w:t>The supplier shall deliver the quantities and dates stated in the advance ship notice (ASN).</w:t>
      </w:r>
    </w:p>
    <w:p>
      <w:pPr>
        <w:pStyle w:val="ListBullet"/>
      </w:pPr>
      <w:r>
        <w:t>Zava counts goods at the distribution centre and records the received quantity on the goods receipt; the received quantity is the basis of acceptance.</w:t>
      </w:r>
    </w:p>
    <w:p>
      <w:pPr>
        <w:pStyle w:val="Heading1"/>
      </w:pPr>
      <w:r>
        <w:t>Clause 6  Pricing and invoicing</w:t>
      </w:r>
    </w:p>
    <w:p>
      <w:pPr>
        <w:pStyle w:val="ListBullet"/>
      </w:pPr>
      <w:r>
        <w:t>Unit prices follow the contract price list in Appendix 1.</w:t>
      </w:r>
    </w:p>
    <w:p>
      <w:pPr>
        <w:pStyle w:val="ListBullet"/>
      </w:pPr>
      <w:r>
        <w:t>The supplier invoices the priced quantity actually received; invoice amount = priced quantity × contract unit price.</w:t>
      </w:r>
    </w:p>
    <w:p>
      <w:pPr>
        <w:pStyle w:val="Heading1"/>
      </w:pPr>
      <w:r>
        <w:t>Clause 7  Short receipts and claims</w:t>
      </w:r>
    </w:p>
    <w:p>
      <w:pPr>
        <w:pStyle w:val="ListBullet"/>
      </w:pPr>
      <w:r>
        <w:t>7.1 Short quantity = ASN quantity − received quantity.</w:t>
      </w:r>
    </w:p>
    <w:p>
      <w:pPr>
        <w:pStyle w:val="ListBullet"/>
      </w:pPr>
      <w:r>
        <w:t>7.2 Zava may claim against the supplier when the short quantity reaches 50 units or the short percentage reaches 5% (either condition suffices).</w:t>
      </w:r>
    </w:p>
    <w:p>
      <w:pPr>
        <w:pStyle w:val="ListBullet"/>
      </w:pPr>
      <w:r>
        <w:t>7.3 A claim must be submitted in writing to the supplier contact within 30 days after receipt; after that it is deemed accepted.</w:t>
      </w:r>
    </w:p>
    <w:p>
      <w:pPr>
        <w:pStyle w:val="ListBullet"/>
      </w:pPr>
      <w:r>
        <w:t>7.4 Claim amount = short quantity × contract unit price; the supplier shall respond within 14 days of receiving the claim.</w:t>
      </w:r>
    </w:p>
    <w:p>
      <w:pPr>
        <w:pStyle w:val="Heading1"/>
      </w:pPr>
      <w:r>
        <w:t>Clause 8  Payment</w:t>
      </w:r>
    </w:p>
    <w:p>
      <w:pPr>
        <w:pStyle w:val="ListBullet"/>
      </w:pPr>
      <w:r>
        <w:t>Net 45 days; claim amounts may be offset against accounts payable.</w:t>
      </w:r>
    </w:p>
    <w:p>
      <w:pPr>
        <w:pStyle w:val="Heading1"/>
      </w:pPr>
      <w:r>
        <w:t>Appendix 1  Contract price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SKU</w:t>
            </w:r>
          </w:p>
        </w:tc>
        <w:tc>
          <w:tcPr>
            <w:tcW w:type="dxa" w:w="3249"/>
          </w:tcPr>
          <w:p>
            <w:r>
              <w:t>Product</w:t>
            </w:r>
          </w:p>
        </w:tc>
        <w:tc>
          <w:tcPr>
            <w:tcW w:type="dxa" w:w="3249"/>
          </w:tcPr>
          <w:p>
            <w:r>
              <w:t>Unit price (NTD)</w:t>
            </w:r>
          </w:p>
        </w:tc>
      </w:tr>
      <w:tr>
        <w:tc>
          <w:tcPr>
            <w:tcW w:type="dxa" w:w="3249"/>
          </w:tcPr>
          <w:p>
            <w:r>
              <w:t>SKU-10482</w:t>
            </w:r>
          </w:p>
        </w:tc>
        <w:tc>
          <w:tcPr>
            <w:tcW w:type="dxa" w:w="3249"/>
          </w:tcPr>
          <w:p>
            <w:r>
              <w:t>Food Storage Set</w:t>
            </w:r>
          </w:p>
        </w:tc>
        <w:tc>
          <w:tcPr>
            <w:tcW w:type="dxa" w:w="3249"/>
          </w:tcPr>
          <w:p>
            <w:r>
              <w:t>185</w:t>
            </w:r>
          </w:p>
        </w:tc>
      </w:tr>
      <w:tr>
        <w:tc>
          <w:tcPr>
            <w:tcW w:type="dxa" w:w="3249"/>
          </w:tcPr>
          <w:p>
            <w:r>
              <w:t>SKU-10517</w:t>
            </w:r>
          </w:p>
        </w:tc>
        <w:tc>
          <w:tcPr>
            <w:tcW w:type="dxa" w:w="3249"/>
          </w:tcPr>
          <w:p>
            <w:r>
              <w:t>Storage Basket</w:t>
            </w:r>
          </w:p>
        </w:tc>
        <w:tc>
          <w:tcPr>
            <w:tcW w:type="dxa" w:w="3249"/>
          </w:tcPr>
          <w:p>
            <w:r>
              <w:t>120</w:t>
            </w:r>
          </w:p>
        </w:tc>
      </w:tr>
    </w:tbl>
    <w:p/>
    <w:p>
      <w:pPr>
        <w:pStyle w:val="Heading1"/>
      </w:pPr>
      <w:r>
        <w:t>Appendix 2  Campaign gift-with-purchase arrangement</w:t>
      </w:r>
    </w:p>
    <w:p>
      <w:pPr>
        <w:pStyle w:val="ListBullet"/>
      </w:pPr>
      <w:r>
        <w:t>Applies to campaign promotions such as the Zava Anniversary Sale; campaign gift units are free of charge and not invoiced.</w:t>
      </w:r>
    </w:p>
    <w:p>
      <w:pPr>
        <w:pStyle w:val="ListBullet"/>
      </w:pPr>
      <w:r>
        <w:t>Gift units must be included in the ASN quantity and counted in the received quantity.</w:t>
      </w:r>
    </w:p>
    <w:p>
      <w:pPr>
        <w:pStyle w:val="ListBullet"/>
      </w:pPr>
      <w:r>
        <w:t>Gift quantities are confirmed in writing by both parties before the campaign starts.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Retail 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