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逾時訂單升級政策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EC-FUL-POL-017</w:t>
            </w:r>
          </w:p>
        </w:tc>
        <w:tc>
          <w:tcPr>
            <w:tcW w:type="dxa" w:w="2436"/>
          </w:tcPr>
          <w:p>
            <w:r>
              <w:t>v1.4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電商履約部</w:t>
            </w:r>
          </w:p>
        </w:tc>
      </w:tr>
    </w:tbl>
    <w:p/>
    <w:p>
      <w:r>
        <w:t>本政策定義「逾時訂單」之判定、分類、通知對象與處理時限。適用於 OMS 匯出之逾時訂單清單（基準日以匯出檔之「匯出日期」為準）。</w:t>
      </w:r>
    </w:p>
    <w:p>
      <w:pPr>
        <w:pStyle w:val="Heading1"/>
      </w:pPr>
      <w:r>
        <w:t>1. 逾時訂單定義</w:t>
      </w:r>
    </w:p>
    <w:p>
      <w:r>
        <w:t>訂單狀態尚未完成配送，且匯出日期晚於承諾到貨日者，視為逾時訂單。每一筆逾時訂單只歸入一個類別。</w:t>
      </w:r>
    </w:p>
    <w:p>
      <w:pPr>
        <w:pStyle w:val="Heading1"/>
      </w:pPr>
      <w:r>
        <w:t>2. 分類規則</w:t>
      </w:r>
    </w:p>
    <w:p>
      <w:r>
        <w:t>依下列欄位，依序判斷（前一條成立即歸類）：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順序</w:t>
            </w:r>
          </w:p>
        </w:tc>
        <w:tc>
          <w:tcPr>
            <w:tcW w:type="dxa" w:w="1949"/>
          </w:tcPr>
          <w:p>
            <w:r>
              <w:t>類別</w:t>
            </w:r>
          </w:p>
        </w:tc>
        <w:tc>
          <w:tcPr>
            <w:tcW w:type="dxa" w:w="1949"/>
          </w:tcPr>
          <w:p>
            <w:r>
              <w:t>判斷欄位</w:t>
            </w:r>
          </w:p>
        </w:tc>
        <w:tc>
          <w:tcPr>
            <w:tcW w:type="dxa" w:w="1949"/>
          </w:tcPr>
          <w:p>
            <w:r>
              <w:t>通知對象</w:t>
            </w:r>
          </w:p>
        </w:tc>
        <w:tc>
          <w:tcPr>
            <w:tcW w:type="dxa" w:w="1949"/>
          </w:tcPr>
          <w:p>
            <w:r>
              <w:t>處理時限（SLA）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地址異常</w:t>
            </w:r>
          </w:p>
        </w:tc>
        <w:tc>
          <w:tcPr>
            <w:tcW w:type="dxa" w:w="1949"/>
          </w:tcPr>
          <w:p>
            <w:r>
              <w:t>收件地址檢核旗標 = REVIEW</w:t>
            </w:r>
          </w:p>
        </w:tc>
        <w:tc>
          <w:tcPr>
            <w:tcW w:type="dxa" w:w="1949"/>
          </w:tcPr>
          <w:p>
            <w:r>
              <w:t>客服中心聯絡顧客確認地址</w:t>
            </w:r>
          </w:p>
        </w:tc>
        <w:tc>
          <w:tcPr>
            <w:tcW w:type="dxa" w:w="1949"/>
          </w:tcPr>
          <w:p>
            <w:r>
              <w:t>1 個營業日內聯絡顧客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門市未揀貨</w:t>
            </w:r>
          </w:p>
        </w:tc>
        <w:tc>
          <w:tcPr>
            <w:tcW w:type="dxa" w:w="1949"/>
          </w:tcPr>
          <w:p>
            <w:r>
              <w:t>揀貨開始時間為空白（且無物流單號）</w:t>
            </w:r>
          </w:p>
        </w:tc>
        <w:tc>
          <w:tcPr>
            <w:tcW w:type="dxa" w:w="1949"/>
          </w:tcPr>
          <w:p>
            <w:r>
              <w:t>出貨門市（店長）催辦揀貨出貨</w:t>
            </w:r>
          </w:p>
        </w:tc>
        <w:tc>
          <w:tcPr>
            <w:tcW w:type="dxa" w:w="1949"/>
          </w:tcPr>
          <w:p>
            <w:r>
              <w:t>當日 18:00 前回報預計出貨時間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物流延誤</w:t>
            </w:r>
          </w:p>
        </w:tc>
        <w:tc>
          <w:tcPr>
            <w:tcW w:type="dxa" w:w="1949"/>
          </w:tcPr>
          <w:p>
            <w:r>
              <w:t>已揀貨，且物流最新掃描有值</w:t>
            </w:r>
          </w:p>
        </w:tc>
        <w:tc>
          <w:tcPr>
            <w:tcW w:type="dxa" w:w="1949"/>
          </w:tcPr>
          <w:p>
            <w:r>
              <w:t>通知物流商查件，並通知顧客</w:t>
            </w:r>
          </w:p>
        </w:tc>
        <w:tc>
          <w:tcPr>
            <w:tcW w:type="dxa" w:w="1949"/>
          </w:tcPr>
          <w:p>
            <w:r>
              <w:t>物流商 24 小時內回覆；顧客通知 1 個營業日內</w:t>
            </w:r>
          </w:p>
        </w:tc>
      </w:tr>
    </w:tbl>
    <w:p>
      <w:pPr>
        <w:pStyle w:val="Heading1"/>
      </w:pPr>
      <w:r>
        <w:t>3. 升級層級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層級</w:t>
            </w:r>
          </w:p>
        </w:tc>
        <w:tc>
          <w:tcPr>
            <w:tcW w:type="dxa" w:w="3249"/>
          </w:tcPr>
          <w:p>
            <w:r>
              <w:t>條件</w:t>
            </w:r>
          </w:p>
        </w:tc>
        <w:tc>
          <w:tcPr>
            <w:tcW w:type="dxa" w:w="3249"/>
          </w:tcPr>
          <w:p>
            <w:r>
              <w:t>對象</w:t>
            </w:r>
          </w:p>
        </w:tc>
      </w:tr>
      <w:tr>
        <w:tc>
          <w:tcPr>
            <w:tcW w:type="dxa" w:w="3249"/>
          </w:tcPr>
          <w:p>
            <w:r>
              <w:t>L1</w:t>
            </w:r>
          </w:p>
        </w:tc>
        <w:tc>
          <w:tcPr>
            <w:tcW w:type="dxa" w:w="3249"/>
          </w:tcPr>
          <w:p>
            <w:r>
              <w:t>逾時 1–2 日</w:t>
            </w:r>
          </w:p>
        </w:tc>
        <w:tc>
          <w:tcPr>
            <w:tcW w:type="dxa" w:w="3249"/>
          </w:tcPr>
          <w:p>
            <w:r>
              <w:t>負責人員／門市</w:t>
            </w:r>
          </w:p>
        </w:tc>
      </w:tr>
      <w:tr>
        <w:tc>
          <w:tcPr>
            <w:tcW w:type="dxa" w:w="3249"/>
          </w:tcPr>
          <w:p>
            <w:r>
              <w:t>L2</w:t>
            </w:r>
          </w:p>
        </w:tc>
        <w:tc>
          <w:tcPr>
            <w:tcW w:type="dxa" w:w="3249"/>
          </w:tcPr>
          <w:p>
            <w:r>
              <w:t>逾時 3 日以上，或白金／金卡顧客</w:t>
            </w:r>
          </w:p>
        </w:tc>
        <w:tc>
          <w:tcPr>
            <w:tcW w:type="dxa" w:w="3249"/>
          </w:tcPr>
          <w:p>
            <w:r>
              <w:t>電商履約經理</w:t>
            </w:r>
          </w:p>
        </w:tc>
      </w:tr>
    </w:tbl>
    <w:p>
      <w:pPr>
        <w:pStyle w:val="Heading1"/>
      </w:pPr>
      <w:r>
        <w:t>4. 顧客溝通原則</w:t>
      </w:r>
    </w:p>
    <w:p>
      <w:r>
        <w:t>顧客說明須與該筆訂單實際原因一致，使用「顧客說明範本」；不得以單一說法通知所有顧客。補償方案由客服中心依顧客等級決定。</w:t>
      </w:r>
    </w:p>
    <w:p>
      <w:pPr>
        <w:pStyle w:val="Heading1"/>
      </w:pPr>
      <w:r>
        <w:t>5. 版本紀錄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日期</w:t>
            </w:r>
          </w:p>
        </w:tc>
        <w:tc>
          <w:tcPr>
            <w:tcW w:type="dxa" w:w="3249"/>
          </w:tcPr>
          <w:p>
            <w:r>
              <w:t>變更</w:t>
            </w:r>
          </w:p>
        </w:tc>
      </w:tr>
      <w:tr>
        <w:tc>
          <w:tcPr>
            <w:tcW w:type="dxa" w:w="3249"/>
          </w:tcPr>
          <w:p>
            <w:r>
              <w:t>v1.4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加入地址檢核旗標分類</w:t>
            </w:r>
          </w:p>
        </w:tc>
      </w:tr>
      <w:tr>
        <w:tc>
          <w:tcPr>
            <w:tcW w:type="dxa" w:w="3249"/>
          </w:tcPr>
          <w:p>
            <w:r>
              <w:t>v1.3</w:t>
            </w:r>
          </w:p>
        </w:tc>
        <w:tc>
          <w:tcPr>
            <w:tcW w:type="dxa" w:w="3249"/>
          </w:tcPr>
          <w:p>
            <w:r>
              <w:t>2026-02-10</w:t>
            </w:r>
          </w:p>
        </w:tc>
        <w:tc>
          <w:tcPr>
            <w:tcW w:type="dxa" w:w="3249"/>
          </w:tcPr>
          <w:p>
            <w:r>
              <w:t>調整物流商回覆時限</w:t>
            </w:r>
          </w:p>
        </w:tc>
      </w:tr>
      <w:tr>
        <w:tc>
          <w:tcPr>
            <w:tcW w:type="dxa" w:w="3249"/>
          </w:tcPr>
          <w:p>
            <w:r>
              <w:t>v1.2</w:t>
            </w:r>
          </w:p>
        </w:tc>
        <w:tc>
          <w:tcPr>
            <w:tcW w:type="dxa" w:w="3249"/>
          </w:tcPr>
          <w:p>
            <w:r>
              <w:t>2025-09-01</w:t>
            </w:r>
          </w:p>
        </w:tc>
        <w:tc>
          <w:tcPr>
            <w:tcW w:type="dxa" w:w="3249"/>
          </w:tcPr>
          <w:p>
            <w:r>
              <w:t>已結案：舊版三日規則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