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渠道定价与折扣政策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文件编号</w:t>
            </w:r>
          </w:p>
        </w:tc>
        <w:tc>
          <w:tcPr>
            <w:tcW w:type="dxa" w:w="2436"/>
          </w:tcPr>
          <w:p>
            <w:r>
              <w:t>版本</w:t>
            </w:r>
          </w:p>
        </w:tc>
        <w:tc>
          <w:tcPr>
            <w:tcW w:type="dxa" w:w="2436"/>
          </w:tcPr>
          <w:p>
            <w:r>
              <w:t>生效日</w:t>
            </w:r>
          </w:p>
        </w:tc>
        <w:tc>
          <w:tcPr>
            <w:tcW w:type="dxa" w:w="2436"/>
          </w:tcPr>
          <w:p>
            <w:r>
              <w:t>承办单位</w:t>
            </w:r>
          </w:p>
        </w:tc>
      </w:tr>
      <w:tr>
        <w:tc>
          <w:tcPr>
            <w:tcW w:type="dxa" w:w="2436"/>
          </w:tcPr>
          <w:p>
            <w:r>
              <w:t>POL-PRC-2026-03</w:t>
            </w:r>
          </w:p>
        </w:tc>
        <w:tc>
          <w:tcPr>
            <w:tcW w:type="dxa" w:w="2436"/>
          </w:tcPr>
          <w:p>
            <w:r>
              <w:t>v2.1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定价治理组</w:t>
            </w:r>
          </w:p>
        </w:tc>
      </w:tr>
    </w:tbl>
    <w:p/>
    <w:p>
      <w:pPr>
        <w:pStyle w:val="Heading1"/>
      </w:pPr>
      <w:r>
        <w:t>一、目的与适用范围</w:t>
      </w:r>
    </w:p>
    <w:p>
      <w:r>
        <w:t>本政策规范 Zava 零售各销售渠道（官网、直营门店、加盟）的标准定价、折扣权限和毛利底线，并规定折扣例外的申请、判定与签批流程。适用于所有促销档期，包括周年庆。</w:t>
      </w:r>
    </w:p>
    <w:p>
      <w:pPr>
        <w:pStyle w:val="Heading1"/>
      </w:pPr>
      <w:r>
        <w:t>二、标准定价与成本</w:t>
      </w:r>
    </w:p>
    <w:p>
      <w:r>
        <w:t>以周年庆主打组合为例：标准定价 1,000 元，标准成本 640 元。各渠道标准定价相同，折扣以标准定价为基础计算。</w:t>
      </w:r>
    </w:p>
    <w:p>
      <w:pPr>
        <w:pStyle w:val="Heading1"/>
      </w:pPr>
      <w:r>
        <w:t>三、毛利底线</w:t>
      </w:r>
    </w:p>
    <w:p>
      <w:r>
        <w:t>任何渠道、任何档期，折后毛利率不得低于 18%，毛利率以售价计：</w:t>
      </w:r>
    </w:p>
    <w:p>
      <w:r>
        <w:t>毛利率 ＝（净售价 − 单位成本 + 已核准的供应商补贴）÷ 净售价</w:t>
      </w:r>
    </w:p>
    <w:p>
      <w:r>
        <w:t>净售价 ＝ 标准定价 ×（1 − 折扣率）。毛利率低于底线的，视为违反本政策，须整改或撤销折扣。</w:t>
      </w:r>
    </w:p>
    <w:p>
      <w:pPr>
        <w:pStyle w:val="Heading1"/>
      </w:pPr>
      <w:r>
        <w:t>四、折扣权限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折扣幅度（相对标准定价）</w:t>
            </w:r>
          </w:p>
        </w:tc>
        <w:tc>
          <w:tcPr>
            <w:tcW w:type="dxa" w:w="3249"/>
          </w:tcPr>
          <w:p>
            <w:r>
              <w:t>核准层级</w:t>
            </w:r>
          </w:p>
        </w:tc>
        <w:tc>
          <w:tcPr>
            <w:tcW w:type="dxa" w:w="3249"/>
          </w:tcPr>
          <w:p>
            <w:r>
              <w:t>说明</w:t>
            </w:r>
          </w:p>
        </w:tc>
      </w:tr>
      <w:tr>
        <w:tc>
          <w:tcPr>
            <w:tcW w:type="dxa" w:w="3249"/>
          </w:tcPr>
          <w:p>
            <w:r>
              <w:t>10% 以内</w:t>
            </w:r>
          </w:p>
        </w:tc>
        <w:tc>
          <w:tcPr>
            <w:tcW w:type="dxa" w:w="3249"/>
          </w:tcPr>
          <w:p>
            <w:r>
              <w:t>门店店长</w:t>
            </w:r>
          </w:p>
        </w:tc>
        <w:tc>
          <w:tcPr>
            <w:tcW w:type="dxa" w:w="3249"/>
          </w:tcPr>
          <w:p>
            <w:r>
              <w:t>常规促销，免登记</w:t>
            </w:r>
          </w:p>
        </w:tc>
      </w:tr>
      <w:tr>
        <w:tc>
          <w:tcPr>
            <w:tcW w:type="dxa" w:w="3249"/>
          </w:tcPr>
          <w:p>
            <w:r>
              <w:t>超过 10% 至 15%</w:t>
            </w:r>
          </w:p>
        </w:tc>
        <w:tc>
          <w:tcPr>
            <w:tcW w:type="dxa" w:w="3249"/>
          </w:tcPr>
          <w:p>
            <w:r>
              <w:t>区域运营经理</w:t>
            </w:r>
          </w:p>
        </w:tc>
        <w:tc>
          <w:tcPr>
            <w:tcW w:type="dxa" w:w="3249"/>
          </w:tcPr>
          <w:p>
            <w:r>
              <w:t>须在促销系统留存核准记录</w:t>
            </w:r>
          </w:p>
        </w:tc>
      </w:tr>
      <w:tr>
        <w:tc>
          <w:tcPr>
            <w:tcW w:type="dxa" w:w="3249"/>
          </w:tcPr>
          <w:p>
            <w:r>
              <w:t>超过 15%</w:t>
            </w:r>
          </w:p>
        </w:tc>
        <w:tc>
          <w:tcPr>
            <w:tcW w:type="dxa" w:w="3249"/>
          </w:tcPr>
          <w:p>
            <w:r>
              <w:t>例外申请</w:t>
            </w:r>
          </w:p>
        </w:tc>
        <w:tc>
          <w:tcPr>
            <w:tcW w:type="dxa" w:w="3249"/>
          </w:tcPr>
          <w:p>
            <w:r>
              <w:t>须登记在“折扣例外登记”，由定价治理专员判定毛利底线，区域总监签批</w:t>
            </w:r>
          </w:p>
        </w:tc>
      </w:tr>
    </w:tbl>
    <w:p>
      <w:pPr>
        <w:pStyle w:val="Heading1"/>
      </w:pPr>
      <w:r>
        <w:t>五、供应商补贴的认定</w:t>
      </w:r>
    </w:p>
    <w:p>
      <w:pPr>
        <w:pStyle w:val="ListBullet"/>
      </w:pPr>
      <w:r>
        <w:t>供应商补贴须有双方签署的书面协议，方可计入毛利。</w:t>
      </w:r>
    </w:p>
    <w:p>
      <w:pPr>
        <w:pStyle w:val="ListBullet"/>
      </w:pPr>
      <w:r>
        <w:t>补贴的适用商品、适用渠道、有效期间和每件金额，一律以协议条款为准；协议未载明的渠道或期间，不得推定适用。</w:t>
      </w:r>
    </w:p>
    <w:p>
      <w:pPr>
        <w:pStyle w:val="ListBullet"/>
      </w:pPr>
      <w:r>
        <w:t>补贴按“每件金额”加计到毛利，不折算成折扣率处理。</w:t>
      </w:r>
    </w:p>
    <w:p>
      <w:pPr>
        <w:pStyle w:val="Heading1"/>
      </w:pPr>
      <w:r>
        <w:t>六、折扣例外流程</w:t>
      </w:r>
    </w:p>
    <w:p>
      <w:r>
        <w:t>1. 申请单位在“折扣例外登记”中登记渠道、折扣率和商品。</w:t>
      </w:r>
    </w:p>
    <w:p>
      <w:r>
        <w:t>2. 定价治理专员依本政策第三、五节判定毛利是否达到底线，并写明判定依据。</w:t>
      </w:r>
    </w:p>
    <w:p>
      <w:r>
        <w:t>3. 判定符合的，由区域运营经理签批；判定违规的，退回申请单位调整折扣或补充补贴协议。</w:t>
      </w:r>
    </w:p>
    <w:p>
      <w:r>
        <w:t>4. 签批后方可在 POS／官网上线，签批日须早于上线日。</w:t>
      </w:r>
    </w:p>
    <w:p>
      <w:pPr>
        <w:pStyle w:val="Heading1"/>
      </w:pPr>
      <w:r>
        <w:t>七、修订记录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版本</w:t>
            </w:r>
          </w:p>
        </w:tc>
        <w:tc>
          <w:tcPr>
            <w:tcW w:type="dxa" w:w="3249"/>
          </w:tcPr>
          <w:p>
            <w:r>
              <w:t>生效日</w:t>
            </w:r>
          </w:p>
        </w:tc>
        <w:tc>
          <w:tcPr>
            <w:tcW w:type="dxa" w:w="3249"/>
          </w:tcPr>
          <w:p>
            <w:r>
              <w:t>修订内容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毛利底线由 16% 调整为 18%；新增供应商补贴认定规定</w:t>
            </w:r>
          </w:p>
        </w:tc>
      </w:tr>
      <w:tr>
        <w:tc>
          <w:tcPr>
            <w:tcW w:type="dxa" w:w="3249"/>
          </w:tcPr>
          <w:p>
            <w:r>
              <w:t>v2.0</w:t>
            </w:r>
          </w:p>
        </w:tc>
        <w:tc>
          <w:tcPr>
            <w:tcW w:type="dxa" w:w="3249"/>
          </w:tcPr>
          <w:p>
            <w:r>
              <w:t>2025-07-01</w:t>
            </w:r>
          </w:p>
        </w:tc>
        <w:tc>
          <w:tcPr>
            <w:tcW w:type="dxa" w:w="3249"/>
          </w:tcPr>
          <w:p>
            <w:r>
              <w:t>新增加盟渠道折扣规范</w:t>
            </w:r>
          </w:p>
        </w:tc>
      </w:tr>
      <w:tr>
        <w:tc>
          <w:tcPr>
            <w:tcW w:type="dxa" w:w="3249"/>
          </w:tcPr>
          <w:p>
            <w:r>
              <w:t>v1.0</w:t>
            </w:r>
          </w:p>
        </w:tc>
        <w:tc>
          <w:tcPr>
            <w:tcW w:type="dxa" w:w="3249"/>
          </w:tcPr>
          <w:p>
            <w:r>
              <w:t>2024-07-01</w:t>
            </w:r>
          </w:p>
        </w:tc>
        <w:tc>
          <w:tcPr>
            <w:tcW w:type="dxa" w:w="3249"/>
          </w:tcPr>
          <w:p>
            <w:r>
              <w:t>初版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零售　内部文件，请勿外传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