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通路定價與折扣政策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文件編號</w:t>
            </w:r>
          </w:p>
        </w:tc>
        <w:tc>
          <w:tcPr>
            <w:tcW w:type="dxa" w:w="2436"/>
          </w:tcPr>
          <w:p>
            <w:r>
              <w:t>版本</w:t>
            </w:r>
          </w:p>
        </w:tc>
        <w:tc>
          <w:tcPr>
            <w:tcW w:type="dxa" w:w="2436"/>
          </w:tcPr>
          <w:p>
            <w:r>
              <w:t>生效日</w:t>
            </w:r>
          </w:p>
        </w:tc>
        <w:tc>
          <w:tcPr>
            <w:tcW w:type="dxa" w:w="2436"/>
          </w:tcPr>
          <w:p>
            <w:r>
              <w:t>承辦單位</w:t>
            </w:r>
          </w:p>
        </w:tc>
      </w:tr>
      <w:tr>
        <w:tc>
          <w:tcPr>
            <w:tcW w:type="dxa" w:w="2436"/>
          </w:tcPr>
          <w:p>
            <w:r>
              <w:t>POL-PRC-2026-03</w:t>
            </w:r>
          </w:p>
        </w:tc>
        <w:tc>
          <w:tcPr>
            <w:tcW w:type="dxa" w:w="2436"/>
          </w:tcPr>
          <w:p>
            <w:r>
              <w:t>v2.1</w:t>
            </w:r>
          </w:p>
        </w:tc>
        <w:tc>
          <w:tcPr>
            <w:tcW w:type="dxa" w:w="2436"/>
          </w:tcPr>
          <w:p>
            <w:r>
              <w:t>2026-07-01</w:t>
            </w:r>
          </w:p>
        </w:tc>
        <w:tc>
          <w:tcPr>
            <w:tcW w:type="dxa" w:w="2436"/>
          </w:tcPr>
          <w:p>
            <w:r>
              <w:t>定價治理組</w:t>
            </w:r>
          </w:p>
        </w:tc>
      </w:tr>
    </w:tbl>
    <w:p/>
    <w:p>
      <w:pPr>
        <w:pStyle w:val="Heading1"/>
      </w:pPr>
      <w:r>
        <w:t>一、目的與適用範圍</w:t>
      </w:r>
    </w:p>
    <w:p>
      <w:r>
        <w:t>本政策規範 Zava 零售各銷售通路（官網、直營門市、加盟）之標準定價、折扣權限與毛利底線，並訂定折扣例外之申請、判定與簽核流程。適用於所有促銷檔期，含週年慶。</w:t>
      </w:r>
    </w:p>
    <w:p>
      <w:pPr>
        <w:pStyle w:val="Heading1"/>
      </w:pPr>
      <w:r>
        <w:t>二、標準定價與成本</w:t>
      </w:r>
    </w:p>
    <w:p>
      <w:r>
        <w:t>以週年慶主打組合為例：標準定價 1,000 元，標準成本 640 元。各通路標準定價相同，折扣以標準定價為基礎計算。</w:t>
      </w:r>
    </w:p>
    <w:p>
      <w:pPr>
        <w:pStyle w:val="Heading1"/>
      </w:pPr>
      <w:r>
        <w:t>三、毛利底線</w:t>
      </w:r>
    </w:p>
    <w:p>
      <w:r>
        <w:t>任何通路、任何檔期，折扣後毛利率不得低於 18%，毛利率以售價計：</w:t>
      </w:r>
    </w:p>
    <w:p>
      <w:r>
        <w:t>毛利率 ＝（淨售價 − 單位成本 + 已核可之供應商補貼）÷ 淨售價</w:t>
      </w:r>
    </w:p>
    <w:p>
      <w:r>
        <w:t>淨售價 ＝ 標準定價 ×（1 − 折扣率）。毛利率低於底線者，視為違反本政策，須整改或撤銷折扣。</w:t>
      </w:r>
    </w:p>
    <w:p>
      <w:pPr>
        <w:pStyle w:val="Heading1"/>
      </w:pPr>
      <w:r>
        <w:t>四、折扣權限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折扣幅度（相對標準定價）</w:t>
            </w:r>
          </w:p>
        </w:tc>
        <w:tc>
          <w:tcPr>
            <w:tcW w:type="dxa" w:w="3249"/>
          </w:tcPr>
          <w:p>
            <w:r>
              <w:t>核可層級</w:t>
            </w:r>
          </w:p>
        </w:tc>
        <w:tc>
          <w:tcPr>
            <w:tcW w:type="dxa" w:w="3249"/>
          </w:tcPr>
          <w:p>
            <w:r>
              <w:t>說明</w:t>
            </w:r>
          </w:p>
        </w:tc>
      </w:tr>
      <w:tr>
        <w:tc>
          <w:tcPr>
            <w:tcW w:type="dxa" w:w="3249"/>
          </w:tcPr>
          <w:p>
            <w:r>
              <w:t>10% 以內</w:t>
            </w:r>
          </w:p>
        </w:tc>
        <w:tc>
          <w:tcPr>
            <w:tcW w:type="dxa" w:w="3249"/>
          </w:tcPr>
          <w:p>
            <w:r>
              <w:t>門市店長</w:t>
            </w:r>
          </w:p>
        </w:tc>
        <w:tc>
          <w:tcPr>
            <w:tcW w:type="dxa" w:w="3249"/>
          </w:tcPr>
          <w:p>
            <w:r>
              <w:t>常態促銷，免登錄</w:t>
            </w:r>
          </w:p>
        </w:tc>
      </w:tr>
      <w:tr>
        <w:tc>
          <w:tcPr>
            <w:tcW w:type="dxa" w:w="3249"/>
          </w:tcPr>
          <w:p>
            <w:r>
              <w:t>超過 10% 至 15%</w:t>
            </w:r>
          </w:p>
        </w:tc>
        <w:tc>
          <w:tcPr>
            <w:tcW w:type="dxa" w:w="3249"/>
          </w:tcPr>
          <w:p>
            <w:r>
              <w:t>區域營運經理</w:t>
            </w:r>
          </w:p>
        </w:tc>
        <w:tc>
          <w:tcPr>
            <w:tcW w:type="dxa" w:w="3249"/>
          </w:tcPr>
          <w:p>
            <w:r>
              <w:t>須於促銷系統留存核可紀錄</w:t>
            </w:r>
          </w:p>
        </w:tc>
      </w:tr>
      <w:tr>
        <w:tc>
          <w:tcPr>
            <w:tcW w:type="dxa" w:w="3249"/>
          </w:tcPr>
          <w:p>
            <w:r>
              <w:t>超過 15%</w:t>
            </w:r>
          </w:p>
        </w:tc>
        <w:tc>
          <w:tcPr>
            <w:tcW w:type="dxa" w:w="3249"/>
          </w:tcPr>
          <w:p>
            <w:r>
              <w:t>例外申請</w:t>
            </w:r>
          </w:p>
        </w:tc>
        <w:tc>
          <w:tcPr>
            <w:tcW w:type="dxa" w:w="3249"/>
          </w:tcPr>
          <w:p>
            <w:r>
              <w:t>須登錄於「折扣例外登錄」，由定價治理專員判定毛利底線，區域總監簽核</w:t>
            </w:r>
          </w:p>
        </w:tc>
      </w:tr>
    </w:tbl>
    <w:p>
      <w:pPr>
        <w:pStyle w:val="Heading1"/>
      </w:pPr>
      <w:r>
        <w:t>五、供應商補貼的認列</w:t>
      </w:r>
    </w:p>
    <w:p>
      <w:pPr>
        <w:pStyle w:val="ListBullet"/>
      </w:pPr>
      <w:r>
        <w:t>供應商補貼須有雙方簽署之書面協議，方可計入毛利。</w:t>
      </w:r>
    </w:p>
    <w:p>
      <w:pPr>
        <w:pStyle w:val="ListBullet"/>
      </w:pPr>
      <w:r>
        <w:t>補貼之適用商品、適用通路、有效期間與每件金額，一律以協議條文為準；協議未載明之通路或期間，不得推定適用。</w:t>
      </w:r>
    </w:p>
    <w:p>
      <w:pPr>
        <w:pStyle w:val="ListBullet"/>
      </w:pPr>
      <w:r>
        <w:t>補貼以「每件金額」加計於毛利，不以折算折扣率的方式處理。</w:t>
      </w:r>
    </w:p>
    <w:p>
      <w:pPr>
        <w:pStyle w:val="Heading1"/>
      </w:pPr>
      <w:r>
        <w:t>六、折扣例外流程</w:t>
      </w:r>
    </w:p>
    <w:p>
      <w:r>
        <w:t>1. 申請單位於「折扣例外登錄」登錄通路、折扣率與商品。</w:t>
      </w:r>
    </w:p>
    <w:p>
      <w:r>
        <w:t>2. 定價治理專員依本政策第三、五節判定毛利是否符合底線，並寫明判定依據。</w:t>
      </w:r>
    </w:p>
    <w:p>
      <w:r>
        <w:t>3. 判定符合者，由區域營運經理簽核；判定違規者，退回申請單位調整折扣或補強補貼協議。</w:t>
      </w:r>
    </w:p>
    <w:p>
      <w:r>
        <w:t>4. 簽核後方可於 POS／官網上線，簽核日須早於上線日。</w:t>
      </w:r>
    </w:p>
    <w:p>
      <w:pPr>
        <w:pStyle w:val="Heading1"/>
      </w:pPr>
      <w:r>
        <w:t>七、修訂紀錄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版本</w:t>
            </w:r>
          </w:p>
        </w:tc>
        <w:tc>
          <w:tcPr>
            <w:tcW w:type="dxa" w:w="3249"/>
          </w:tcPr>
          <w:p>
            <w:r>
              <w:t>生效日</w:t>
            </w:r>
          </w:p>
        </w:tc>
        <w:tc>
          <w:tcPr>
            <w:tcW w:type="dxa" w:w="3249"/>
          </w:tcPr>
          <w:p>
            <w:r>
              <w:t>修訂內容</w:t>
            </w:r>
          </w:p>
        </w:tc>
      </w:tr>
      <w:tr>
        <w:tc>
          <w:tcPr>
            <w:tcW w:type="dxa" w:w="3249"/>
          </w:tcPr>
          <w:p>
            <w:r>
              <w:t>v2.1</w:t>
            </w:r>
          </w:p>
        </w:tc>
        <w:tc>
          <w:tcPr>
            <w:tcW w:type="dxa" w:w="3249"/>
          </w:tcPr>
          <w:p>
            <w:r>
              <w:t>2026-07-01</w:t>
            </w:r>
          </w:p>
        </w:tc>
        <w:tc>
          <w:tcPr>
            <w:tcW w:type="dxa" w:w="3249"/>
          </w:tcPr>
          <w:p>
            <w:r>
              <w:t>毛利底線由 16% 調整為 18%；新增供應商補貼認列規定</w:t>
            </w:r>
          </w:p>
        </w:tc>
      </w:tr>
      <w:tr>
        <w:tc>
          <w:tcPr>
            <w:tcW w:type="dxa" w:w="3249"/>
          </w:tcPr>
          <w:p>
            <w:r>
              <w:t>v2.0</w:t>
            </w:r>
          </w:p>
        </w:tc>
        <w:tc>
          <w:tcPr>
            <w:tcW w:type="dxa" w:w="3249"/>
          </w:tcPr>
          <w:p>
            <w:r>
              <w:t>2025-07-01</w:t>
            </w:r>
          </w:p>
        </w:tc>
        <w:tc>
          <w:tcPr>
            <w:tcW w:type="dxa" w:w="3249"/>
          </w:tcPr>
          <w:p>
            <w:r>
              <w:t>新增加盟通路折扣規範</w:t>
            </w:r>
          </w:p>
        </w:tc>
      </w:tr>
      <w:tr>
        <w:tc>
          <w:tcPr>
            <w:tcW w:type="dxa" w:w="3249"/>
          </w:tcPr>
          <w:p>
            <w:r>
              <w:t>v1.0</w:t>
            </w:r>
          </w:p>
        </w:tc>
        <w:tc>
          <w:tcPr>
            <w:tcW w:type="dxa" w:w="3249"/>
          </w:tcPr>
          <w:p>
            <w:r>
              <w:t>2024-07-01</w:t>
            </w:r>
          </w:p>
        </w:tc>
        <w:tc>
          <w:tcPr>
            <w:tcW w:type="dxa" w:w="3249"/>
          </w:tcPr>
          <w:p>
            <w:r>
              <w:t>初版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零售　內部文件，請勿外流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