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Channel Pricing and Discount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Doc. No.</w:t>
            </w:r>
          </w:p>
        </w:tc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Effective</w:t>
            </w:r>
          </w:p>
        </w:tc>
        <w:tc>
          <w:tcPr>
            <w:tcW w:type="dxa" w:w="2436"/>
          </w:tcPr>
          <w:p>
            <w:r>
              <w:t>Owner</w:t>
            </w:r>
          </w:p>
        </w:tc>
      </w:tr>
      <w:tr>
        <w:tc>
          <w:tcPr>
            <w:tcW w:type="dxa" w:w="2436"/>
          </w:tcPr>
          <w:p>
            <w:r>
              <w:t>POL-PRC-2026-03</w:t>
            </w:r>
          </w:p>
        </w:tc>
        <w:tc>
          <w:tcPr>
            <w:tcW w:type="dxa" w:w="2436"/>
          </w:tcPr>
          <w:p>
            <w:r>
              <w:t>v2.1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Pricing Governance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policy governs the standard price, discount authority and gross-margin floor of each Zava Retail sales channel (online, company-operated stores, franchise), and sets the process for requesting, assessing and approving discount exceptions. It applies to all promotional campaigns, including the Anniversary sale.</w:t>
      </w:r>
    </w:p>
    <w:p>
      <w:pPr>
        <w:pStyle w:val="Heading1"/>
      </w:pPr>
      <w:r>
        <w:t>2. Standard Price and Cost</w:t>
      </w:r>
    </w:p>
    <w:p>
      <w:r>
        <w:t>Using the Anniversary hero bundle as the reference item: standard price NTD 1,000, standard cost NTD 640. The standard price is the same in every channel; discounts are calculated on it.</w:t>
      </w:r>
    </w:p>
    <w:p>
      <w:pPr>
        <w:pStyle w:val="Heading1"/>
      </w:pPr>
      <w:r>
        <w:t>3. Gross-Margin Floor</w:t>
      </w:r>
    </w:p>
    <w:p>
      <w:r>
        <w:t>In any channel and any campaign, the margin after discount must not fall below 18%, measured on selling price:</w:t>
      </w:r>
    </w:p>
    <w:p>
      <w:r>
        <w:t>Gross margin = (net price - unit cost + approved supplier subsidy) / net price</w:t>
      </w:r>
    </w:p>
    <w:p>
      <w:r>
        <w:t>Net price = standard price x (1 - discount rate). A margin below the floor is a policy breach; the discount must be corrected or withdrawn.</w:t>
      </w:r>
    </w:p>
    <w:p>
      <w:pPr>
        <w:pStyle w:val="Heading1"/>
      </w:pPr>
      <w:r>
        <w:t>4. Discount Authority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Discount depth (vs. standard price)</w:t>
            </w:r>
          </w:p>
        </w:tc>
        <w:tc>
          <w:tcPr>
            <w:tcW w:type="dxa" w:w="3249"/>
          </w:tcPr>
          <w:p>
            <w:r>
              <w:t>Approver level</w:t>
            </w:r>
          </w:p>
        </w:tc>
        <w:tc>
          <w:tcPr>
            <w:tcW w:type="dxa" w:w="3249"/>
          </w:tcPr>
          <w:p>
            <w:r>
              <w:t>Notes</w:t>
            </w:r>
          </w:p>
        </w:tc>
      </w:tr>
      <w:tr>
        <w:tc>
          <w:tcPr>
            <w:tcW w:type="dxa" w:w="3249"/>
          </w:tcPr>
          <w:p>
            <w:r>
              <w:t>Up to 10%</w:t>
            </w:r>
          </w:p>
        </w:tc>
        <w:tc>
          <w:tcPr>
            <w:tcW w:type="dxa" w:w="3249"/>
          </w:tcPr>
          <w:p>
            <w:r>
              <w:t>Store manager</w:t>
            </w:r>
          </w:p>
        </w:tc>
        <w:tc>
          <w:tcPr>
            <w:tcW w:type="dxa" w:w="3249"/>
          </w:tcPr>
          <w:p>
            <w:r>
              <w:t>Routine promotion; no registration</w:t>
            </w:r>
          </w:p>
        </w:tc>
      </w:tr>
      <w:tr>
        <w:tc>
          <w:tcPr>
            <w:tcW w:type="dxa" w:w="3249"/>
          </w:tcPr>
          <w:p>
            <w:r>
              <w:t>Over 10% up to 15%</w:t>
            </w:r>
          </w:p>
        </w:tc>
        <w:tc>
          <w:tcPr>
            <w:tcW w:type="dxa" w:w="3249"/>
          </w:tcPr>
          <w:p>
            <w:r>
              <w:t>Regional operations manager</w:t>
            </w:r>
          </w:p>
        </w:tc>
        <w:tc>
          <w:tcPr>
            <w:tcW w:type="dxa" w:w="3249"/>
          </w:tcPr>
          <w:p>
            <w:r>
              <w:t>Approval must be kept in the promotion system</w:t>
            </w:r>
          </w:p>
        </w:tc>
      </w:tr>
      <w:tr>
        <w:tc>
          <w:tcPr>
            <w:tcW w:type="dxa" w:w="3249"/>
          </w:tcPr>
          <w:p>
            <w:r>
              <w:t>Over 15%</w:t>
            </w:r>
          </w:p>
        </w:tc>
        <w:tc>
          <w:tcPr>
            <w:tcW w:type="dxa" w:w="3249"/>
          </w:tcPr>
          <w:p>
            <w:r>
              <w:t>Exception request</w:t>
            </w:r>
          </w:p>
        </w:tc>
        <w:tc>
          <w:tcPr>
            <w:tcW w:type="dxa" w:w="3249"/>
          </w:tcPr>
          <w:p>
            <w:r>
              <w:t>Must be registered in the Discount Exception Log; the pricing governance specialist assesses the margin floor and the regional director signs off</w:t>
            </w:r>
          </w:p>
        </w:tc>
      </w:tr>
    </w:tbl>
    <w:p>
      <w:pPr>
        <w:pStyle w:val="Heading1"/>
      </w:pPr>
      <w:r>
        <w:t>5. Recognition of Supplier Subsidies</w:t>
      </w:r>
    </w:p>
    <w:p>
      <w:pPr>
        <w:pStyle w:val="ListBullet"/>
      </w:pPr>
      <w:r>
        <w:t>A supplier subsidy counts toward margin only under a written agreement signed by both parties.</w:t>
      </w:r>
    </w:p>
    <w:p>
      <w:pPr>
        <w:pStyle w:val="ListBullet"/>
      </w:pPr>
      <w:r>
        <w:t>Eligible items, eligible channels, validity period and amount per unit are as stated in the agreement; a channel or period the agreement does not name must not be assumed to be covered.</w:t>
      </w:r>
    </w:p>
    <w:p>
      <w:pPr>
        <w:pStyle w:val="ListBullet"/>
      </w:pPr>
      <w:r>
        <w:t>The subsidy is added to margin as an amount per unit, not converted into an equivalent discount rate.</w:t>
      </w:r>
    </w:p>
    <w:p>
      <w:pPr>
        <w:pStyle w:val="Heading1"/>
      </w:pPr>
      <w:r>
        <w:t>6. Exception Process</w:t>
      </w:r>
    </w:p>
    <w:p>
      <w:r>
        <w:t>1. The requesting unit registers the channel, discount rate and item in the Discount Exception Log.</w:t>
      </w:r>
    </w:p>
    <w:p>
      <w:r>
        <w:t>2. The pricing governance specialist assesses the margin against the floor under sections 3 and 5 and records the basis.</w:t>
      </w:r>
    </w:p>
    <w:p>
      <w:r>
        <w:t>3. If compliant, the regional operations manager signs off; if in breach, it is returned for a shallower discount or a stronger subsidy agreement.</w:t>
      </w:r>
    </w:p>
    <w:p>
      <w:r>
        <w:t>4. The discount may go live in POS / online only after sign-off, and the sign-off date must precede the go-live date.</w:t>
      </w:r>
    </w:p>
    <w:p>
      <w:pPr>
        <w:pStyle w:val="Heading1"/>
      </w:pPr>
      <w:r>
        <w:t>7.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Version</w:t>
            </w:r>
          </w:p>
        </w:tc>
        <w:tc>
          <w:tcPr>
            <w:tcW w:type="dxa" w:w="3249"/>
          </w:tcPr>
          <w:p>
            <w:r>
              <w:t>Effective</w:t>
            </w:r>
          </w:p>
        </w:tc>
        <w:tc>
          <w:tcPr>
            <w:tcW w:type="dxa" w:w="3249"/>
          </w:tcPr>
          <w:p>
            <w:r>
              <w:t>Change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Margin floor raised from 16% to 18%; added supplier subsidy recognition rules</w:t>
            </w:r>
          </w:p>
        </w:tc>
      </w:tr>
      <w:tr>
        <w:tc>
          <w:tcPr>
            <w:tcW w:type="dxa" w:w="3249"/>
          </w:tcPr>
          <w:p>
            <w:r>
              <w:t>v2.0</w:t>
            </w:r>
          </w:p>
        </w:tc>
        <w:tc>
          <w:tcPr>
            <w:tcW w:type="dxa" w:w="3249"/>
          </w:tcPr>
          <w:p>
            <w:r>
              <w:t>2025-07-01</w:t>
            </w:r>
          </w:p>
        </w:tc>
        <w:tc>
          <w:tcPr>
            <w:tcW w:type="dxa" w:w="3249"/>
          </w:tcPr>
          <w:p>
            <w:r>
              <w:t>Added franchise channel discount rules</w:t>
            </w:r>
          </w:p>
        </w:tc>
      </w:tr>
      <w:tr>
        <w:tc>
          <w:tcPr>
            <w:tcW w:type="dxa" w:w="3249"/>
          </w:tcPr>
          <w:p>
            <w:r>
              <w:t>v1.0</w:t>
            </w:r>
          </w:p>
        </w:tc>
        <w:tc>
          <w:tcPr>
            <w:tcW w:type="dxa" w:w="3249"/>
          </w:tcPr>
          <w:p>
            <w:r>
              <w:t>2024-07-01</w:t>
            </w:r>
          </w:p>
        </w:tc>
        <w:tc>
          <w:tcPr>
            <w:tcW w:type="dxa" w:w="3249"/>
          </w:tcPr>
          <w:p>
            <w:r>
              <w:t>First release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Retail 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