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欧盟《人工智能法案》(EU) 2024/1689 重点条款摘录（中译）</w:t>
      </w:r>
    </w:p>
    <w:p>
      <w:pPr>
        <w:pStyle w:val="Heading1"/>
      </w:pPr>
      <w:r>
        <w:t>第 6 条 高风险人工智能系统的分类</w:t>
      </w:r>
    </w:p>
    <w:p>
      <w:r>
        <w:t>符合下列条件之一的视为高风险：(a) 作为附件一所列产品的安全部件；(b) 属于附件三所列八大领域的使用场景，包括关键基础设施、教育与职业培训、就业与招聘、基本服务获取、执法、移民与边境管理、司法、民主程序。</w:t>
      </w:r>
    </w:p>
    <w:p>
      <w:pPr>
        <w:pStyle w:val="Heading1"/>
      </w:pPr>
      <w:r>
        <w:t>第 13 条 透明度义务</w:t>
      </w:r>
    </w:p>
    <w:p>
      <w:r>
        <w:t>高风险人工智能系统应随附使用说明，披露：系统能力与局限、预期用途、人工监督要求、预期生命周期、训练数据来源摘要与代表性评估。</w:t>
      </w:r>
    </w:p>
    <w:p>
      <w:pPr>
        <w:pStyle w:val="Heading1"/>
      </w:pPr>
      <w:r>
        <w:t>第 50 条 通用人工智能模型 (GPAI) 义务</w:t>
      </w:r>
    </w:p>
    <w:p>
      <w:r>
        <w:t>通用人工智能模型提供者应：(a) 保存完整技术文档；(b) 公开训练数据的详细摘要（依人工智能办公室模板）；(c) 遵守欧盟版权指令；(d) 向下游部署方提供集成所需信息。具系统性风险的模型（算力 ≥ 10^25 FLOPs）还须开展对抗性测试并报告重大事件。</w:t>
      </w:r>
    </w:p>
    <w:p>
      <w:pPr>
        <w:pStyle w:val="Heading1"/>
      </w:pPr>
      <w:r>
        <w:t>第 71 条 罚则</w:t>
      </w:r>
    </w:p>
    <w:p>
      <w:r>
        <w:t>违反禁止用途：最高 3500 万欧元或全球年营业额的 7%。违反高风险义务：最高 1500 万欧元或全球年营业额的 3%。提供虚假信息：最高 750 万欧元或全球年营业额的 1%。</w:t>
      </w:r>
    </w:p>
    <w:p>
      <w:pPr>
        <w:pStyle w:val="Heading1"/>
      </w:pPr>
      <w:r>
        <w:t>适用时间表</w:t>
      </w:r>
    </w:p>
    <w:p>
      <w:pPr>
        <w:pStyle w:val="ListBullet"/>
      </w:pPr>
      <w:r>
        <w:t>2025/02/02 — 第 5 条禁止用途生效</w:t>
      </w:r>
    </w:p>
    <w:p>
      <w:pPr>
        <w:pStyle w:val="ListBullet"/>
      </w:pPr>
      <w:r>
        <w:t>2025/08/02 — 通用人工智能模型义务生效</w:t>
      </w:r>
    </w:p>
    <w:p>
      <w:pPr>
        <w:pStyle w:val="ListBullet"/>
      </w:pPr>
      <w:r>
        <w:t>2026/08/02 — 高风险系统全面适用</w:t>
      </w:r>
    </w:p>
    <w:p>
      <w:pPr>
        <w:pStyle w:val="ListBullet"/>
      </w:pPr>
      <w:r>
        <w:t>2027/08/02 — 附件一所列大型 IT 系统适用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