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公司 2050 年净零排放路径书 v1.0（草案）</w:t>
      </w:r>
    </w:p>
    <w:p>
      <w:r>
        <w:t>发布日期：2026/03 / 适用范围：全球运营基地 + 关键供应链</w:t>
      </w:r>
    </w:p>
    <w:p>
      <w:pPr>
        <w:pStyle w:val="Heading1"/>
      </w:pPr>
      <w:r>
        <w:t>1. 愿景与承诺</w:t>
      </w:r>
    </w:p>
    <w:p>
      <w:r>
        <w:t>公司承诺 2030 年完成 RE100、2035 年实现范围一与范围二净零、2050 年实现范围一二三全口径净零，并通过 SBTi 1.5°C 路径核准。董事会已于 2026/02 通过将气候 KPI 与高管薪酬挂钩（占浮动薪酬 10%）。</w:t>
      </w:r>
    </w:p>
    <w:p>
      <w:pPr>
        <w:pStyle w:val="Heading1"/>
      </w:pPr>
      <w:r>
        <w:t>2. 基准年核算</w:t>
      </w:r>
    </w:p>
    <w:p>
      <w:r>
        <w:t>以 2024 年为基准年，依 ISO 14064-1 与温室气体核算体系完成第三方核查。范围一加范围二排放 17,554 tCO2e，范围三排放 192,150 tCO2e（占总排放 92%），主要热点是售出产品使用阶段（80%）与采购商品（15%）。</w:t>
      </w:r>
    </w:p>
    <w:p>
      <w:pPr>
        <w:pStyle w:val="Heading1"/>
      </w:pPr>
      <w:r>
        <w:t>3. 五大行动主线</w:t>
      </w:r>
    </w:p>
    <w:p>
      <w:pPr>
        <w:pStyle w:val="Heading2"/>
      </w:pPr>
      <w:r>
        <w:t>3.1 能源转型</w:t>
      </w:r>
    </w:p>
    <w:p>
      <w:r>
        <w:t>2026 年完成国内全部厂区屋顶光伏建设（装机容量 12MW）；2027 年签署海上风电绿电直购协议 100MW，期限 20 年；2030 年完成 RE100。</w:t>
      </w:r>
    </w:p>
    <w:p>
      <w:pPr>
        <w:pStyle w:val="Heading2"/>
      </w:pPr>
      <w:r>
        <w:t>3.2 工艺节能</w:t>
      </w:r>
    </w:p>
    <w:p>
      <w:r>
        <w:t>推行 ISO 50001，三年内单位产品电耗下降 25%。引入 AI 动态制冷、余热回收、服务器液冷。</w:t>
      </w:r>
    </w:p>
    <w:p>
      <w:pPr>
        <w:pStyle w:val="Heading2"/>
      </w:pPr>
      <w:r>
        <w:t>3.3 产品低碳化</w:t>
      </w:r>
    </w:p>
    <w:p>
      <w:r>
        <w:t>新一代产品平均能效提升 40%，2028 年推出全循环设计服务器（85% 材料可拆解回收）。</w:t>
      </w:r>
    </w:p>
    <w:p>
      <w:pPr>
        <w:pStyle w:val="Heading2"/>
      </w:pPr>
      <w:r>
        <w:t>3.4 供应链协同</w:t>
      </w:r>
    </w:p>
    <w:p>
      <w:r>
        <w:t>占采购金额前 80% 的供应商须在 2027 年前完成排放核算并设定科学碳目标；建立内部碳价人民币 500 元/tCO2e 用于投资决策。</w:t>
      </w:r>
    </w:p>
    <w:p>
      <w:pPr>
        <w:pStyle w:val="Heading2"/>
      </w:pPr>
      <w:r>
        <w:t>3.5 剩余排放抵消</w:t>
      </w:r>
    </w:p>
    <w:p>
      <w:r>
        <w:t>2030 年起每年购买 2% 碳移除额度（直接空气捕集 + 基于自然的解决方案），2050 年达到 100%。优先选择通过 ICVCM 核心碳原则认证的项目，并优先采购国家核证自愿减排量（CCER）。</w:t>
      </w:r>
    </w:p>
    <w:p>
      <w:pPr>
        <w:pStyle w:val="Heading1"/>
      </w:pPr>
      <w:r>
        <w:t>4. 财务影响</w:t>
      </w:r>
    </w:p>
    <w:p>
      <w:r>
        <w:t>预计 2026–2030 年累计绿色资本支出人民币 20 亿元，内部收益率 12.4%。气候相关风险的财务影响（依 IFRS S2 情景分析）：2°C 情景下 2030 年 EBITDA 影响 -2.1%，1.5°C 情景下 +1.8%（受益于低碳产品溢价）。</w:t>
      </w:r>
    </w:p>
    <w:p>
      <w:pPr>
        <w:pStyle w:val="Heading1"/>
      </w:pPr>
      <w:r>
        <w:t>5. 治理</w:t>
      </w:r>
    </w:p>
    <w:p>
      <w:r>
        <w:t>可持续发展委员会由独立董事牵头，每季度向董事会汇报。设首席可持续发展官直接向 CEO 汇报，下设气候、自然资本、社会三个工作组。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