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某省政务服务和数据管理局 — 2026 年政务系统生成式人工智能公共服务平台 招标需求书（节选）</w:t>
      </w:r>
    </w:p>
    <w:p>
      <w:r>
        <w:t>项目编号：ZWSJ-AI-2026-001 / 预算金额：人民币 11,000 万元 / 履约期限：中标后 36 个月</w:t>
      </w:r>
    </w:p>
    <w:p>
      <w:pPr>
        <w:pStyle w:val="Heading1"/>
      </w:pPr>
      <w:r>
        <w:t>一、项目背景</w:t>
      </w:r>
    </w:p>
    <w:p>
      <w:r>
        <w:t>为加快政务领域人工智能应用普及，建设集约化的生成式人工智能服务平台，供全省各厅局共用，避免重复投资，并确保网络安全、个人信息保护与人工智能可信合规。首年计划服务 8 家单位、12,000 名工作人员。</w:t>
      </w:r>
    </w:p>
    <w:p>
      <w:pPr>
        <w:pStyle w:val="Heading1"/>
      </w:pPr>
      <w:r>
        <w:t>二、技术需求</w:t>
      </w:r>
    </w:p>
    <w:p>
      <w:pPr>
        <w:pStyle w:val="Heading2"/>
      </w:pPr>
      <w:r>
        <w:t>（一）模型能力</w:t>
      </w:r>
    </w:p>
    <w:p>
      <w:pPr>
        <w:pStyle w:val="ListBullet"/>
      </w:pPr>
      <w:r>
        <w:t>至少支持 3 种大语言模型，其中至少一种为已完成生成式人工智能服务备案的国产大模型</w:t>
      </w:r>
    </w:p>
    <w:p>
      <w:pPr>
        <w:pStyle w:val="ListBullet"/>
      </w:pPr>
      <w:r>
        <w:t>支持简体中文 zero-shot 任务，BERTScore ≥ 0.85</w:t>
      </w:r>
    </w:p>
    <w:p>
      <w:pPr>
        <w:pStyle w:val="ListBullet"/>
      </w:pPr>
      <w:r>
        <w:t>支持多模态（文本+图像+表格），视觉任务 mAP ≥ 0.80</w:t>
      </w:r>
    </w:p>
    <w:p>
      <w:pPr>
        <w:pStyle w:val="ListBullet"/>
      </w:pPr>
      <w:r>
        <w:t>支持 RAG 检索增强生成，召回率 Recall@5 ≥ 0.90</w:t>
      </w:r>
    </w:p>
    <w:p>
      <w:pPr>
        <w:pStyle w:val="ListBullet"/>
      </w:pPr>
      <w:r>
        <w:t>须完成信创适配，支持国产 CPU 与国产操作系统环境部署</w:t>
      </w:r>
    </w:p>
    <w:p>
      <w:pPr>
        <w:pStyle w:val="Heading2"/>
      </w:pPr>
      <w:r>
        <w:t>（二）安全与合规</w:t>
      </w:r>
    </w:p>
    <w:p>
      <w:pPr>
        <w:pStyle w:val="ListBullet"/>
      </w:pPr>
      <w:r>
        <w:t>通过 ISO 27001、ISO 27701、ISO 42001 认证，并满足网络安全等级保护三级要求</w:t>
      </w:r>
    </w:p>
    <w:p>
      <w:pPr>
        <w:pStyle w:val="ListBullet"/>
      </w:pPr>
      <w:r>
        <w:t>数据不出境，全部算力与存储须部署在境内数据中心</w:t>
      </w:r>
    </w:p>
    <w:p>
      <w:pPr>
        <w:pStyle w:val="ListBullet"/>
      </w:pPr>
      <w:r>
        <w:t>提供完整审计日志，留存不少于 5 年</w:t>
      </w:r>
    </w:p>
    <w:p>
      <w:pPr>
        <w:pStyle w:val="ListBullet"/>
      </w:pPr>
      <w:r>
        <w:t>符合《网络安全法》《数据安全法》《个人信息保护法》《生成式人工智能服务管理暂行办法》及《互联网信息服务深度合成管理规定》</w:t>
      </w:r>
    </w:p>
    <w:p>
      <w:pPr>
        <w:pStyle w:val="Heading2"/>
      </w:pPr>
      <w:r>
        <w:t>（三）性能与规模</w:t>
      </w:r>
    </w:p>
    <w:p>
      <w:pPr>
        <w:pStyle w:val="ListBullet"/>
      </w:pPr>
      <w:r>
        <w:t>P95 响应时间 &lt; 3 秒（常规查询）、&lt; 30 秒（长文本生成）</w:t>
      </w:r>
    </w:p>
    <w:p>
      <w:pPr>
        <w:pStyle w:val="ListBullet"/>
      </w:pPr>
      <w:r>
        <w:t>并发用户数 ≥ 2,000，可横向扩展至 10,000</w:t>
      </w:r>
    </w:p>
    <w:p>
      <w:pPr>
        <w:pStyle w:val="ListBullet"/>
      </w:pPr>
      <w:r>
        <w:t>可用性 SLA ≥ 99.5%（全年停机 &lt; 43.8 小时）</w:t>
      </w:r>
    </w:p>
    <w:p>
      <w:pPr>
        <w:pStyle w:val="Heading1"/>
      </w:pPr>
      <w:r>
        <w:t>三、商务条款</w:t>
      </w:r>
    </w:p>
    <w:p>
      <w:pPr>
        <w:pStyle w:val="ListBullet"/>
      </w:pPr>
      <w:r>
        <w:t>按使用量计费，提供阶梯折扣</w:t>
      </w:r>
    </w:p>
    <w:p>
      <w:pPr>
        <w:pStyle w:val="ListBullet"/>
      </w:pPr>
      <w:r>
        <w:t>前 3 个月概念验证不收费，未通过验收可无条件解除合同</w:t>
      </w:r>
    </w:p>
    <w:p>
      <w:pPr>
        <w:pStyle w:val="ListBullet"/>
      </w:pPr>
      <w:r>
        <w:t>履约保证金 5%，质保期 1 年</w:t>
      </w:r>
    </w:p>
    <w:p>
      <w:pPr>
        <w:pStyle w:val="ListBullet"/>
      </w:pPr>
      <w:r>
        <w:t>知识产权：定制开发成果归采购单位所有</w:t>
      </w:r>
    </w:p>
    <w:p>
      <w:pPr>
        <w:pStyle w:val="Heading1"/>
      </w:pPr>
      <w:r>
        <w:t>四、评标办法</w:t>
      </w:r>
    </w:p>
    <w:p>
      <w:r>
        <w:t>技术分 70% + 商务分 30%。技术分细项：模型能力 25%、安全合规 20%、系统架构 15%、过往业绩 10%。投标单位须在 2026/06/15 前提交投标文件，并于 06/30 完成现场答辩。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