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27AB" w14:textId="77777777" w:rsidR="003B0AF9" w:rsidRDefault="00000000">
      <w:pPr>
        <w:pStyle w:val="aa"/>
        <w:rPr>
          <w:lang w:eastAsia="zh-TW"/>
        </w:rPr>
      </w:pPr>
      <w:r>
        <w:rPr>
          <w:lang w:eastAsia="zh-TW"/>
        </w:rPr>
        <w:t xml:space="preserve">Regulation (EU) 2024/1689 — AI Act </w:t>
      </w:r>
      <w:r>
        <w:rPr>
          <w:lang w:eastAsia="zh-TW"/>
        </w:rPr>
        <w:t>重點條款摘錄（中譯）</w:t>
      </w:r>
    </w:p>
    <w:p w14:paraId="0D58AE8E" w14:textId="77777777" w:rsidR="003B0AF9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 </w:t>
      </w:r>
      <w:r>
        <w:rPr>
          <w:lang w:eastAsia="zh-TW"/>
        </w:rPr>
        <w:t>條</w:t>
      </w:r>
      <w:r>
        <w:rPr>
          <w:lang w:eastAsia="zh-TW"/>
        </w:rPr>
        <w:t xml:space="preserve"> </w:t>
      </w:r>
      <w:r>
        <w:rPr>
          <w:lang w:eastAsia="zh-TW"/>
        </w:rPr>
        <w:t>高風險</w:t>
      </w:r>
      <w:r>
        <w:rPr>
          <w:lang w:eastAsia="zh-TW"/>
        </w:rPr>
        <w:t xml:space="preserve"> AI </w:t>
      </w:r>
      <w:r>
        <w:rPr>
          <w:lang w:eastAsia="zh-TW"/>
        </w:rPr>
        <w:t>系統分類</w:t>
      </w:r>
    </w:p>
    <w:p w14:paraId="1E2D327D" w14:textId="77777777" w:rsidR="003B0AF9" w:rsidRDefault="00000000">
      <w:pPr>
        <w:rPr>
          <w:lang w:eastAsia="zh-TW"/>
        </w:rPr>
      </w:pPr>
      <w:r>
        <w:rPr>
          <w:lang w:eastAsia="zh-TW"/>
        </w:rPr>
        <w:t>符合下列條件之一者視為高風險：</w:t>
      </w:r>
      <w:r>
        <w:rPr>
          <w:lang w:eastAsia="zh-TW"/>
        </w:rPr>
        <w:t xml:space="preserve">(a) </w:t>
      </w:r>
      <w:r>
        <w:rPr>
          <w:lang w:eastAsia="zh-TW"/>
        </w:rPr>
        <w:t>為附件</w:t>
      </w:r>
      <w:r>
        <w:rPr>
          <w:lang w:eastAsia="zh-TW"/>
        </w:rPr>
        <w:t xml:space="preserve"> I </w:t>
      </w:r>
      <w:r>
        <w:rPr>
          <w:lang w:eastAsia="zh-TW"/>
        </w:rPr>
        <w:t>所列產品安全元件；</w:t>
      </w:r>
      <w:r>
        <w:rPr>
          <w:lang w:eastAsia="zh-TW"/>
        </w:rPr>
        <w:t xml:space="preserve">(b) </w:t>
      </w:r>
      <w:r>
        <w:rPr>
          <w:lang w:eastAsia="zh-TW"/>
        </w:rPr>
        <w:t>屬附件</w:t>
      </w:r>
      <w:r>
        <w:rPr>
          <w:lang w:eastAsia="zh-TW"/>
        </w:rPr>
        <w:t xml:space="preserve"> III </w:t>
      </w:r>
      <w:r>
        <w:rPr>
          <w:lang w:eastAsia="zh-TW"/>
        </w:rPr>
        <w:t>所列八大領域使用情境，包含關鍵基礎設施、教育職訓、就業招募、必要服務取得、執法、移民邊境管理、司法、民主程序。</w:t>
      </w:r>
    </w:p>
    <w:p w14:paraId="46F6A207" w14:textId="77777777" w:rsidR="003B0AF9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 </w:t>
      </w:r>
      <w:r>
        <w:rPr>
          <w:lang w:eastAsia="zh-TW"/>
        </w:rPr>
        <w:t>條</w:t>
      </w:r>
      <w:r>
        <w:rPr>
          <w:lang w:eastAsia="zh-TW"/>
        </w:rPr>
        <w:t xml:space="preserve"> </w:t>
      </w:r>
      <w:r>
        <w:rPr>
          <w:lang w:eastAsia="zh-TW"/>
        </w:rPr>
        <w:t>透明度義務</w:t>
      </w:r>
    </w:p>
    <w:p w14:paraId="7EB2BE5B" w14:textId="77777777" w:rsidR="003B0AF9" w:rsidRDefault="00000000">
      <w:pPr>
        <w:rPr>
          <w:lang w:eastAsia="zh-TW"/>
        </w:rPr>
      </w:pPr>
      <w:r>
        <w:rPr>
          <w:lang w:eastAsia="zh-TW"/>
        </w:rPr>
        <w:t>高風險</w:t>
      </w:r>
      <w:r>
        <w:rPr>
          <w:lang w:eastAsia="zh-TW"/>
        </w:rPr>
        <w:t xml:space="preserve"> AI </w:t>
      </w:r>
      <w:r>
        <w:rPr>
          <w:lang w:eastAsia="zh-TW"/>
        </w:rPr>
        <w:t>系統應隨附使用說明，揭露：系統能力與限制、預期用途、人為監督要求、預期生命週期、訓練資料來源摘要與代表性評估。</w:t>
      </w:r>
    </w:p>
    <w:p w14:paraId="2A3DA4C4" w14:textId="77777777" w:rsidR="003B0AF9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50 </w:t>
      </w:r>
      <w:r>
        <w:rPr>
          <w:lang w:eastAsia="zh-TW"/>
        </w:rPr>
        <w:t>條</w:t>
      </w:r>
      <w:r>
        <w:rPr>
          <w:lang w:eastAsia="zh-TW"/>
        </w:rPr>
        <w:t xml:space="preserve"> </w:t>
      </w:r>
      <w:r>
        <w:rPr>
          <w:lang w:eastAsia="zh-TW"/>
        </w:rPr>
        <w:t>通用</w:t>
      </w:r>
      <w:r>
        <w:rPr>
          <w:lang w:eastAsia="zh-TW"/>
        </w:rPr>
        <w:t xml:space="preserve"> AI </w:t>
      </w:r>
      <w:r>
        <w:rPr>
          <w:lang w:eastAsia="zh-TW"/>
        </w:rPr>
        <w:t>模型</w:t>
      </w:r>
      <w:r>
        <w:rPr>
          <w:lang w:eastAsia="zh-TW"/>
        </w:rPr>
        <w:t xml:space="preserve"> (GPAI) </w:t>
      </w:r>
      <w:r>
        <w:rPr>
          <w:lang w:eastAsia="zh-TW"/>
        </w:rPr>
        <w:t>義務</w:t>
      </w:r>
    </w:p>
    <w:p w14:paraId="19E6C8D9" w14:textId="77777777" w:rsidR="003B0AF9" w:rsidRDefault="00000000">
      <w:pPr>
        <w:rPr>
          <w:lang w:eastAsia="zh-TW"/>
        </w:rPr>
      </w:pPr>
      <w:r>
        <w:t>通用</w:t>
      </w:r>
      <w:r>
        <w:t xml:space="preserve"> AI </w:t>
      </w:r>
      <w:r>
        <w:t>模型提供者應：</w:t>
      </w:r>
      <w:r>
        <w:t xml:space="preserve">(a) </w:t>
      </w:r>
      <w:r>
        <w:t>維持完整技術文件；</w:t>
      </w:r>
      <w:r>
        <w:t xml:space="preserve">(b) </w:t>
      </w:r>
      <w:r>
        <w:t>公開訓練資料</w:t>
      </w:r>
      <w:r>
        <w:t xml:space="preserve"> detailed summary</w:t>
      </w:r>
      <w:r>
        <w:t>（依</w:t>
      </w:r>
      <w:r>
        <w:t xml:space="preserve"> AI Office </w:t>
      </w:r>
      <w:r>
        <w:t>範本）；</w:t>
      </w:r>
      <w:r>
        <w:t xml:space="preserve">(c) </w:t>
      </w:r>
      <w:r>
        <w:t>遵守歐盟著作權指令；</w:t>
      </w:r>
      <w:r>
        <w:t xml:space="preserve">(d) </w:t>
      </w:r>
      <w:r>
        <w:t>對下游部署者提供整合所需資訊。</w:t>
      </w:r>
      <w:r>
        <w:rPr>
          <w:lang w:eastAsia="zh-TW"/>
        </w:rPr>
        <w:t>系統性風險模型（運算量</w:t>
      </w:r>
      <w:r>
        <w:rPr>
          <w:lang w:eastAsia="zh-TW"/>
        </w:rPr>
        <w:t xml:space="preserve"> ≥ 10^25 FLOPs</w:t>
      </w:r>
      <w:r>
        <w:rPr>
          <w:lang w:eastAsia="zh-TW"/>
        </w:rPr>
        <w:t>）額外需執行對抗性測試與重大事件通報。</w:t>
      </w:r>
    </w:p>
    <w:p w14:paraId="45B3F7E9" w14:textId="77777777" w:rsidR="003B0AF9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71 </w:t>
      </w:r>
      <w:r>
        <w:rPr>
          <w:lang w:eastAsia="zh-TW"/>
        </w:rPr>
        <w:t>條</w:t>
      </w:r>
      <w:r>
        <w:rPr>
          <w:lang w:eastAsia="zh-TW"/>
        </w:rPr>
        <w:t xml:space="preserve"> </w:t>
      </w:r>
      <w:r>
        <w:rPr>
          <w:lang w:eastAsia="zh-TW"/>
        </w:rPr>
        <w:t>罰則</w:t>
      </w:r>
    </w:p>
    <w:p w14:paraId="243A7FA3" w14:textId="77777777" w:rsidR="003B0AF9" w:rsidRDefault="00000000">
      <w:pPr>
        <w:rPr>
          <w:lang w:eastAsia="zh-TW"/>
        </w:rPr>
      </w:pPr>
      <w:r>
        <w:rPr>
          <w:lang w:eastAsia="zh-TW"/>
        </w:rPr>
        <w:t>違反禁止用途：最高</w:t>
      </w:r>
      <w:r>
        <w:rPr>
          <w:lang w:eastAsia="zh-TW"/>
        </w:rPr>
        <w:t xml:space="preserve"> 3,500 </w:t>
      </w:r>
      <w:r>
        <w:rPr>
          <w:lang w:eastAsia="zh-TW"/>
        </w:rPr>
        <w:t>萬歐元或全球年營收</w:t>
      </w:r>
      <w:r>
        <w:rPr>
          <w:lang w:eastAsia="zh-TW"/>
        </w:rPr>
        <w:t xml:space="preserve"> 7%</w:t>
      </w:r>
      <w:r>
        <w:rPr>
          <w:lang w:eastAsia="zh-TW"/>
        </w:rPr>
        <w:t>。違反高風險義務：最高</w:t>
      </w:r>
      <w:r>
        <w:rPr>
          <w:lang w:eastAsia="zh-TW"/>
        </w:rPr>
        <w:t xml:space="preserve"> 1,500 </w:t>
      </w:r>
      <w:r>
        <w:rPr>
          <w:lang w:eastAsia="zh-TW"/>
        </w:rPr>
        <w:t>萬歐元或全球年營收</w:t>
      </w:r>
      <w:r>
        <w:rPr>
          <w:lang w:eastAsia="zh-TW"/>
        </w:rPr>
        <w:t xml:space="preserve"> 3%</w:t>
      </w:r>
      <w:r>
        <w:rPr>
          <w:lang w:eastAsia="zh-TW"/>
        </w:rPr>
        <w:t>。提供錯誤資訊：最高</w:t>
      </w:r>
      <w:r>
        <w:rPr>
          <w:lang w:eastAsia="zh-TW"/>
        </w:rPr>
        <w:t xml:space="preserve"> 750 </w:t>
      </w:r>
      <w:r>
        <w:rPr>
          <w:lang w:eastAsia="zh-TW"/>
        </w:rPr>
        <w:t>萬歐元或全球年營收</w:t>
      </w:r>
      <w:r>
        <w:rPr>
          <w:lang w:eastAsia="zh-TW"/>
        </w:rPr>
        <w:t xml:space="preserve"> 1%</w:t>
      </w:r>
      <w:r>
        <w:rPr>
          <w:lang w:eastAsia="zh-TW"/>
        </w:rPr>
        <w:t>。</w:t>
      </w:r>
    </w:p>
    <w:p w14:paraId="733F4975" w14:textId="77777777" w:rsidR="003B0AF9" w:rsidRDefault="00000000">
      <w:pPr>
        <w:pStyle w:val="1"/>
      </w:pPr>
      <w:r>
        <w:t>適用時程</w:t>
      </w:r>
    </w:p>
    <w:p w14:paraId="5DF20503" w14:textId="77777777" w:rsidR="003B0AF9" w:rsidRDefault="00000000">
      <w:pPr>
        <w:pStyle w:val="a0"/>
      </w:pPr>
      <w:r>
        <w:t xml:space="preserve">2025/02/02 — </w:t>
      </w:r>
      <w:r>
        <w:t>第</w:t>
      </w:r>
      <w:r>
        <w:t xml:space="preserve"> 5 </w:t>
      </w:r>
      <w:r>
        <w:t>條禁止用途生效</w:t>
      </w:r>
    </w:p>
    <w:p w14:paraId="28B73981" w14:textId="77777777" w:rsidR="003B0AF9" w:rsidRDefault="00000000">
      <w:pPr>
        <w:pStyle w:val="a0"/>
      </w:pPr>
      <w:r>
        <w:t xml:space="preserve">2025/08/02 — GPAI </w:t>
      </w:r>
      <w:r>
        <w:t>義務生效</w:t>
      </w:r>
    </w:p>
    <w:p w14:paraId="1825D58B" w14:textId="77777777" w:rsidR="003B0AF9" w:rsidRDefault="00000000">
      <w:pPr>
        <w:pStyle w:val="a0"/>
      </w:pPr>
      <w:r>
        <w:t xml:space="preserve">2026/08/02 — </w:t>
      </w:r>
      <w:r>
        <w:t>高風險系統全面適用</w:t>
      </w:r>
    </w:p>
    <w:p w14:paraId="7E7DFA80" w14:textId="77777777" w:rsidR="003B0AF9" w:rsidRDefault="00000000">
      <w:pPr>
        <w:pStyle w:val="a0"/>
      </w:pPr>
      <w:r>
        <w:t xml:space="preserve">2027/08/02 — </w:t>
      </w:r>
      <w:r>
        <w:t>附件</w:t>
      </w:r>
      <w:r>
        <w:t xml:space="preserve"> I </w:t>
      </w:r>
      <w:r>
        <w:t>大型</w:t>
      </w:r>
      <w:r>
        <w:t xml:space="preserve"> IT </w:t>
      </w:r>
      <w:r>
        <w:t>系統適用</w:t>
      </w:r>
    </w:p>
    <w:sectPr w:rsidR="003B0A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096511">
    <w:abstractNumId w:val="8"/>
  </w:num>
  <w:num w:numId="2" w16cid:durableId="1433821618">
    <w:abstractNumId w:val="6"/>
  </w:num>
  <w:num w:numId="3" w16cid:durableId="925184903">
    <w:abstractNumId w:val="5"/>
  </w:num>
  <w:num w:numId="4" w16cid:durableId="1702625813">
    <w:abstractNumId w:val="4"/>
  </w:num>
  <w:num w:numId="5" w16cid:durableId="954367895">
    <w:abstractNumId w:val="7"/>
  </w:num>
  <w:num w:numId="6" w16cid:durableId="2004431125">
    <w:abstractNumId w:val="3"/>
  </w:num>
  <w:num w:numId="7" w16cid:durableId="460732804">
    <w:abstractNumId w:val="2"/>
  </w:num>
  <w:num w:numId="8" w16cid:durableId="667563976">
    <w:abstractNumId w:val="1"/>
  </w:num>
  <w:num w:numId="9" w16cid:durableId="53014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AF9"/>
    <w:rsid w:val="00515048"/>
    <w:rsid w:val="00AA1D8D"/>
    <w:rsid w:val="00B47730"/>
    <w:rsid w:val="00CB0664"/>
    <w:rsid w:val="00F26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08D55"/>
  <w14:defaultImageDpi w14:val="300"/>
  <w15:docId w15:val="{73365923-4E59-4241-BD9E-4A7377E9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Hung</cp:lastModifiedBy>
  <cp:revision>3</cp:revision>
  <dcterms:created xsi:type="dcterms:W3CDTF">2013-12-23T23:15:00Z</dcterms:created>
  <dcterms:modified xsi:type="dcterms:W3CDTF">2026-05-13T19:05:00Z</dcterms:modified>
  <cp:category/>
</cp:coreProperties>
</file>