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b/>
          <w:color w:val="1F4E79"/>
          <w:sz w:val="40"/>
        </w:rPr>
        <w:t>Client Visit Background — Hongyun Smart Tech</w:t>
      </w:r>
    </w:p>
    <w:p>
      <w:r>
        <w:rPr>
          <w:rFonts w:ascii="Calibri" w:hAnsi="Calibri"/>
          <w:b/>
          <w:sz w:val="22"/>
        </w:rPr>
        <w:t xml:space="preserve">Purpose: </w:t>
      </w:r>
      <w:r>
        <w:rPr>
          <w:rFonts w:ascii="Calibri" w:hAnsi="Calibri"/>
          <w:b w:val="0"/>
          <w:sz w:val="22"/>
        </w:rPr>
        <w:t>Give the sales team a quick grasp of the client's background before a visit, serving as input for Copilot Cowork to generate the pre-meeting brief and the post-visit follow-up email.</w:t>
      </w:r>
    </w:p>
    <w:p>
      <w:pPr>
        <w:pStyle w:val="Heading1"/>
      </w:pPr>
      <w:r>
        <w:t>1. Company Profile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Company: </w:t>
      </w:r>
      <w:r>
        <w:rPr>
          <w:rFonts w:ascii="Calibri" w:hAnsi="Calibri"/>
          <w:b w:val="0"/>
          <w:sz w:val="22"/>
        </w:rPr>
        <w:t>Hongyun Smart Tech Co., Ltd.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Industry: </w:t>
      </w:r>
      <w:r>
        <w:rPr>
          <w:rFonts w:ascii="Calibri" w:hAnsi="Calibri"/>
          <w:b w:val="0"/>
          <w:sz w:val="22"/>
        </w:rPr>
        <w:t>Smart manufacturing / Industrial IoT (IIoT) solutions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Size: </w:t>
      </w:r>
      <w:r>
        <w:rPr>
          <w:rFonts w:ascii="Calibri" w:hAnsi="Calibri"/>
          <w:b w:val="0"/>
          <w:sz w:val="22"/>
        </w:rPr>
        <w:t>~1,200 employees, NT$3.8B annual revenue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HQ: </w:t>
      </w:r>
      <w:r>
        <w:rPr>
          <w:rFonts w:ascii="Calibri" w:hAnsi="Calibri"/>
          <w:b w:val="0"/>
          <w:sz w:val="22"/>
        </w:rPr>
        <w:t>Hsinchu Science Park, Taiwan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Status: </w:t>
      </w:r>
      <w:r>
        <w:rPr>
          <w:rFonts w:ascii="Calibri" w:hAnsi="Calibri"/>
          <w:b w:val="0"/>
          <w:sz w:val="22"/>
        </w:rPr>
        <w:t>Driving digital transformation; adopting an AI command center and cloud ERP</w:t>
      </w:r>
    </w:p>
    <w:p>
      <w:pPr>
        <w:pStyle w:val="Heading1"/>
      </w:pPr>
      <w:r>
        <w:t>2. Key Contacts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Focus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Lin Zhi-ming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CIO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Security compliance, system integration risk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Chen Yi-jun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Digital Transformation PM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Rollout timeline, cross-team collaboration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Wang Jian-de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VP Finance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ROI, total cost of ownership</w:t>
            </w:r>
          </w:p>
        </w:tc>
      </w:tr>
    </w:tbl>
    <w:p>
      <w:pPr>
        <w:pStyle w:val="Heading1"/>
      </w:pPr>
      <w:r>
        <w:t>3. Interaction History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2026/04/15  First contact: met at an industry forum; expressed interest in the AI command center.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2026/05/08  Online needs call: clarified ERP pain points; data scattered across three systems.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2026/05/22  Technical briefing: showed product architecture; Lin (CIO) concerned about data residency and security compliance.</w:t>
      </w:r>
    </w:p>
    <w:p>
      <w:pPr>
        <w:pStyle w:val="Heading1"/>
      </w:pPr>
      <w:r>
        <w:t>4. Goals for This Visit (2026/06/10)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Confirm rollout scope and priority modules (AI command center first, or cloud ERP).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Address security-compliance concerns; propose data-residency and access-control measures.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Discuss project timeline, budget range and resource allocation.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Secure entry into a formal proposal (POC) stage.</w:t>
      </w:r>
    </w:p>
    <w:p>
      <w:pPr>
        <w:pStyle w:val="Heading1"/>
      </w:pPr>
      <w:r>
        <w:t>5. Known Concerns &amp; Risks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Security: client requires data to remain within Taiwan; a compliance statement is needed.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Budget: VP Finance is TCO-sensitive; prepare a three-year cost-benefit analysis.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Timeline: client wants first-phase results within Q3; the cadence is tight.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