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/>
          <w:color w:val="1F4E79"/>
          <w:sz w:val="40"/>
        </w:rPr>
        <w:t>授信案件背景資料 — 鴻運智慧科技</w:t>
      </w:r>
    </w:p>
    <w:p>
      <w:r>
        <w:rPr>
          <w:rFonts w:ascii="Microsoft JhengHei" w:hAnsi="Microsoft JhengHei" w:eastAsia="Microsoft JhengHei"/>
          <w:b/>
          <w:sz w:val="22"/>
        </w:rPr>
        <w:t>文件用途：</w:t>
      </w:r>
      <w:r>
        <w:rPr>
          <w:rFonts w:ascii="Microsoft JhengHei" w:hAnsi="Microsoft JhengHei" w:eastAsia="Microsoft JhengHei"/>
          <w:b w:val="0"/>
          <w:sz w:val="22"/>
        </w:rPr>
        <w:t>供關係經理上傳至 Copilot Cowork，協助草擬授信建議備忘錄。所有資料為訓練用虛構範例，已去識別化。</w:t>
      </w:r>
    </w:p>
    <w:p>
      <w:pPr>
        <w:pStyle w:val="Heading1"/>
      </w:pPr>
      <w:r>
        <w:t>一、借款戶概況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公司名稱：鴻運智慧科技股份有限公司（Hongyun Smart Tech Co., Ltd.）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產業：智慧製造／工業物聯網（IIoT）解決方案，主要提供工廠感測、邊緣運算與製造數據平台。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成立年數：約 11 年；總部位於新竹科學園區，員工約 1,200 人。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2025 年營收：新台幣 38.8 億元；外銷比重約 42%，主要市場為日本、東南亞與北美。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往來銀行：本行為主要薪轉與營運收款銀行之一，往來紀錄正常。</w:t>
      </w:r>
    </w:p>
    <w:p>
      <w:pPr>
        <w:pStyle w:val="Heading1"/>
      </w:pPr>
      <w:r>
        <w:t>二、申請授信條件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申請額度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新台幣 6 億元綜合授信額度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期間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 年，含年度覆審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擴充 AI 伺服器測試產線、採購關鍵零組件與營運週轉金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動用方式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中期放款 4 億元；循環週轉金額度 2 億元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還款來源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營業現金流、主要客戶應收帳款回收及既有現金部位</w:t>
            </w:r>
          </w:p>
        </w:tc>
      </w:tr>
    </w:tbl>
    <w:p>
      <w:pPr>
        <w:pStyle w:val="Heading1"/>
      </w:pPr>
      <w:r>
        <w:t>三、三年財務摘要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年度</w:t>
            </w:r>
          </w:p>
        </w:tc>
        <w:tc>
          <w:tcPr>
            <w:tcW w:type="dxa" w:w="144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營收(NT$百萬元)</w:t>
            </w:r>
          </w:p>
        </w:tc>
        <w:tc>
          <w:tcPr>
            <w:tcW w:type="dxa" w:w="144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毛利率</w:t>
            </w:r>
          </w:p>
        </w:tc>
        <w:tc>
          <w:tcPr>
            <w:tcW w:type="dxa" w:w="144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稅後淨利(NT$百萬元)</w:t>
            </w:r>
          </w:p>
        </w:tc>
        <w:tc>
          <w:tcPr>
            <w:tcW w:type="dxa" w:w="144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流動比率</w:t>
            </w:r>
          </w:p>
        </w:tc>
        <w:tc>
          <w:tcPr>
            <w:tcW w:type="dxa" w:w="1440"/>
            <w:shd w:fill="1F4E79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負債權益比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3,050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36.0%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145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1.32x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1.05x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2024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3,520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34.5%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168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1.28x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1.12x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2025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3,880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33.8%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1.21x</w:t>
            </w:r>
          </w:p>
        </w:tc>
        <w:tc>
          <w:tcPr>
            <w:tcW w:type="dxa" w:w="144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1.26x</w:t>
            </w:r>
          </w:p>
        </w:tc>
      </w:tr>
    </w:tbl>
    <w:p>
      <w:r>
        <w:rPr>
          <w:rFonts w:ascii="Microsoft JhengHei" w:hAnsi="Microsoft JhengHei" w:eastAsia="Microsoft JhengHei"/>
          <w:b w:val="0"/>
          <w:sz w:val="22"/>
        </w:rPr>
        <w:t>補充說明：2025 年毛利率下滑主要因新產品量產初期良率與零組件成本上升；2026 H1 未審數營收約 NT$20.4 億元，年增約 9%。</w:t>
      </w:r>
    </w:p>
    <w:p>
      <w:pPr>
        <w:pStyle w:val="Heading1"/>
      </w:pPr>
      <w:r>
        <w:t>四、擔保品與既有暴險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擔保品：新竹廠辦不動產設定第一順位抵押，估值約 NT$4.8 億元；另提供主要應收帳款讓與備查。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本行既有暴險：短期週轉金 NT$1.5 億元，平均動用率 62%，繳息正常。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金融同業暴險：其他銀行聯貸及設備貸款合計約 NT$5.2 億元，無逾期紀錄。</w:t>
      </w:r>
    </w:p>
    <w:p>
      <w:pPr>
        <w:pStyle w:val="Heading1"/>
      </w:pPr>
      <w:r>
        <w:t>五、已知風險點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產業循環：半導體與智慧製造資本支出具景氣循環性，訂單能見度約 6–9 個月。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客戶集中：前五大客戶占 2025 年營收約 48%，單一最大客戶占 17%。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匯率暴險：美元收入與日圓採購並存，若避險不足可能影響毛利率。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營運資金壓力：新產線備料期拉長，存貨週轉天數由 2024 年 76 天升至 2025 年 88 天。</w:t>
      </w:r>
    </w:p>
    <w:p>
      <w:r>
        <w:rPr>
          <w:rFonts w:ascii="Microsoft JhengHei" w:hAnsi="Microsoft JhengHei" w:eastAsia="Microsoft JhengHei"/>
          <w:b w:val="0"/>
          <w:sz w:val="22"/>
        </w:rPr>
        <w:t>本資料為訓練用虛構範例，已去識別化；不構成投資建議、授信承諾或保證報酬。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