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67B8"/>
          <w:sz w:val="40"/>
        </w:rPr>
        <w:t>Client Visit Background — Zava</w:t>
      </w:r>
    </w:p>
    <w:p>
      <w:r>
        <w:rPr>
          <w:color w:val="606060"/>
          <w:sz w:val="19"/>
        </w:rPr>
        <w:t>Owner: you | Visit date: tomorrow | Compiled: 2026-07-02</w:t>
      </w:r>
    </w:p>
    <w:p/>
    <w:p>
      <w:r>
        <w:rPr>
          <w:b/>
          <w:color w:val="0067B8"/>
          <w:sz w:val="26"/>
        </w:rPr>
        <w:t>Company profile</w:t>
      </w:r>
    </w:p>
    <w:p>
      <w:pPr>
        <w:pStyle w:val="ListBullet"/>
      </w:pPr>
      <w:r>
        <w:t>Zava is an omnichannel retail chain with 148 stores nationwide, plus e-commerce and a mobile app.</w:t>
      </w:r>
    </w:p>
    <w:p>
      <w:pPr>
        <w:pStyle w:val="ListBullet"/>
      </w:pPr>
      <w:r>
        <w:t>Annual revenue is around TWD 9.2bn with roughly 3,400 employees; head office in Taipei.</w:t>
      </w:r>
    </w:p>
    <w:p>
      <w:pPr>
        <w:pStyle w:val="ListBullet"/>
      </w:pPr>
      <w:r>
        <w:t>Their 2026 priority is unifying store and online inventory, targeting a drop in out-of-stock rate from 6.2% to under 3%.</w:t>
      </w:r>
    </w:p>
    <w:p/>
    <w:p>
      <w:r>
        <w:rPr>
          <w:b/>
          <w:color w:val="0067B8"/>
          <w:sz w:val="26"/>
        </w:rPr>
        <w:t>Key contacts</w:t>
      </w:r>
    </w:p>
    <w:p>
      <w:pPr>
        <w:pStyle w:val="ListBullet"/>
      </w:pPr>
      <w:r>
        <w:t>Bo-yun Chen | COO | primary decision maker. Focused on payback period, wants numbers not long decks.</w:t>
      </w:r>
    </w:p>
    <w:p>
      <w:pPr>
        <w:pStyle w:val="ListBullet"/>
      </w:pPr>
      <w:r>
        <w:t>Si-yu Lin | IT Manager | technical gatekeeper. Raised most of the questions last time about data residency and access control.</w:t>
      </w:r>
    </w:p>
    <w:p/>
    <w:p>
      <w:r>
        <w:rPr>
          <w:b/>
          <w:color w:val="0067B8"/>
          <w:sz w:val="26"/>
        </w:rPr>
        <w:t>Interaction history</w:t>
      </w:r>
    </w:p>
    <w:p>
      <w:pPr>
        <w:pStyle w:val="ListBullet"/>
      </w:pPr>
      <w:r>
        <w:t>2026-05-20 first contact: walked through the overall solution; real-time store inventory lookup drew the most interest.</w:t>
      </w:r>
    </w:p>
    <w:p>
      <w:pPr>
        <w:pStyle w:val="ListBullet"/>
      </w:pPr>
      <w:r>
        <w:t>2026-06-18 second visit: scoped a POC; they asked for peer case studies and a cost model.</w:t>
      </w:r>
    </w:p>
    <w:p>
      <w:pPr>
        <w:pStyle w:val="ListBullet"/>
      </w:pPr>
      <w:r>
        <w:t>2026-06-25 email: Si-yu Lin requested our security whitepaper. Sent, no reply yet.</w:t>
      </w:r>
    </w:p>
    <w:p/>
    <w:p>
      <w:r>
        <w:rPr>
          <w:b/>
          <w:color w:val="0067B8"/>
          <w:sz w:val="26"/>
        </w:rPr>
        <w:t>Goals for this visit</w:t>
      </w:r>
    </w:p>
    <w:p>
      <w:pPr>
        <w:pStyle w:val="ListBullet"/>
      </w:pPr>
      <w:r>
        <w:t>Lock the POC scope and timeline, aiming to start before end of August.</w:t>
      </w:r>
    </w:p>
    <w:p>
      <w:pPr>
        <w:pStyle w:val="ListBullet"/>
      </w:pPr>
      <w:r>
        <w:t>Address the security concerns and get Si-yu Lin comfortable.</w:t>
      </w:r>
    </w:p>
    <w:p>
      <w:pPr>
        <w:pStyle w:val="ListBullet"/>
      </w:pPr>
      <w:r>
        <w:t>Get Bo-yun Chen's initial sign-off on the budget range.</w:t>
      </w:r>
    </w:p>
    <w:p/>
    <w:p>
      <w:r>
        <w:rPr>
          <w:b/>
          <w:color w:val="0067B8"/>
          <w:sz w:val="26"/>
        </w:rPr>
        <w:t>Known risks</w:t>
      </w:r>
    </w:p>
    <w:p>
      <w:pPr>
        <w:pStyle w:val="ListBullet"/>
      </w:pPr>
      <w:r>
        <w:t>The security team still questions whether data leaves Taiwan — the main blocker from the last meeting.</w:t>
      </w:r>
    </w:p>
    <w:p>
      <w:pPr>
        <w:pStyle w:val="ListBullet"/>
      </w:pPr>
      <w:r>
        <w:t>A competing vendor is also bidding, reportedly cheaper with a narrower feature set.</w:t>
      </w:r>
    </w:p>
    <w:p>
      <w:pPr>
        <w:pStyle w:val="ListBullet"/>
      </w:pPr>
      <w:r>
        <w:t>Bo-yun Chen travels overseas for two weeks from mid-August, so the decision window is shorter than it looks.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