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b/>
          <w:color w:val="1B3A5C"/>
          <w:sz w:val="40"/>
        </w:rPr>
        <w:t>Complaint Case Background</w:t>
      </w:r>
    </w:p>
    <w:p>
      <w:r>
        <w:rPr>
          <w:rFonts w:ascii="Calibri" w:hAnsi="Calibri"/>
          <w:b w:val="0"/>
          <w:sz w:val="22"/>
        </w:rPr>
        <w:t>Case No.: C-2026-0842   Received: 2026/08/10   Category: Noise Complaint</w:t>
      </w:r>
    </w:p>
    <w:p>
      <w:pPr>
        <w:pStyle w:val="Heading1"/>
      </w:pPr>
      <w:r>
        <w:t>Case Summary</w:t>
      </w:r>
    </w:p>
    <w:p>
      <w:r>
        <w:rPr>
          <w:rFonts w:ascii="Calibri" w:hAnsi="Calibri"/>
          <w:b w:val="0"/>
          <w:sz w:val="22"/>
        </w:rPr>
        <w:t>The complainant is a resident of a nearby community. The complaint states that a neighboring construction site has repeatedly worked past 22:00 since July 2026, causing noise disturbance. The issue was relayed twice through the local borough chief without improvement, and the resident requests the agency handle it per regulation and reply with the outcome.</w:t>
      </w:r>
    </w:p>
    <w:p>
      <w:pPr>
        <w:pStyle w:val="Heading1"/>
      </w:pPr>
      <w:r>
        <w:t>Complaint Timeline</w:t>
      </w:r>
    </w:p>
    <w:p>
      <w:pPr>
        <w:pStyle w:val="ListBullet"/>
      </w:pPr>
      <w:r>
        <w:rPr>
          <w:rFonts w:ascii="Calibri" w:hAnsi="Calibri"/>
          <w:b w:val="0"/>
          <w:sz w:val="20"/>
        </w:rPr>
        <w:t>2026/07/18  Complainant first called the agency; the agency asked the site operator to improve</w:t>
      </w:r>
    </w:p>
    <w:p>
      <w:pPr>
        <w:pStyle w:val="ListBullet"/>
      </w:pPr>
      <w:r>
        <w:rPr>
          <w:rFonts w:ascii="Calibri" w:hAnsi="Calibri"/>
          <w:b w:val="0"/>
          <w:sz w:val="20"/>
        </w:rPr>
        <w:t>2026/07/29  Complainant raised the issue again via the borough chief; the agency sent a letter requesting explanation</w:t>
      </w:r>
    </w:p>
    <w:p>
      <w:pPr>
        <w:pStyle w:val="ListBullet"/>
      </w:pPr>
      <w:r>
        <w:rPr>
          <w:rFonts w:ascii="Calibri" w:hAnsi="Calibri"/>
          <w:b w:val="0"/>
          <w:sz w:val="20"/>
        </w:rPr>
        <w:t>2026/08/05  Site operator replied that hours would be adjusted, but the complainant reports late-night work continues</w:t>
      </w:r>
    </w:p>
    <w:p>
      <w:pPr>
        <w:pStyle w:val="ListBullet"/>
      </w:pPr>
      <w:r>
        <w:rPr>
          <w:rFonts w:ascii="Calibri" w:hAnsi="Calibri"/>
          <w:b w:val="0"/>
          <w:sz w:val="20"/>
        </w:rPr>
        <w:t>2026/08/10  Complainant filed a formal written complaint requesting the agency act per regulation</w:t>
      </w:r>
    </w:p>
    <w:p>
      <w:pPr>
        <w:pStyle w:val="Heading1"/>
      </w:pPr>
      <w:r>
        <w:t>Case Officer's Request</w:t>
      </w:r>
    </w:p>
    <w:p>
      <w:r>
        <w:rPr>
          <w:rFonts w:ascii="Calibri" w:hAnsi="Calibri"/>
          <w:b w:val="0"/>
          <w:sz w:val="22"/>
        </w:rPr>
        <w:t>Please identify regulations potentially applicable to this case (e.g. general noise-control rules, conditions attached to construction permits), and annotate the document with the corresponding legal basis and rationale for applicability, to inform the sign-off direction.</w:t>
      </w:r>
    </w:p>
    <w:p>
      <w:pPr>
        <w:pStyle w:val="Heading1"/>
      </w:pPr>
      <w:r>
        <w:t>Note</w:t>
      </w:r>
    </w:p>
    <w:p>
      <w:r>
        <w:rPr>
          <w:rFonts w:ascii="Calibri" w:hAnsi="Calibri"/>
          <w:b w:val="0"/>
          <w:sz w:val="22"/>
        </w:rPr>
        <w:t>This is a fictional, de-identified training sample; agencies, names and figures are placeholders, not a real case or official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