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  <w:b/>
          <w:color w:val="1B3A5C"/>
          <w:sz w:val="40"/>
        </w:rPr>
        <w:t>Procurement Requirement Background &amp; SOW Template</w:t>
      </w:r>
    </w:p>
    <w:p>
      <w:r>
        <w:rPr>
          <w:rFonts w:ascii="Calibri" w:hAnsi="Calibri"/>
          <w:b w:val="0"/>
          <w:sz w:val="22"/>
        </w:rPr>
        <w:t>Procurement: Agency Website Accessibility Upgrade   Budget: NT$1.8M (placeholder)</w:t>
      </w:r>
    </w:p>
    <w:p>
      <w:pPr>
        <w:pStyle w:val="Heading1"/>
      </w:pPr>
      <w:r>
        <w:t>Background</w:t>
      </w:r>
    </w:p>
    <w:p>
      <w:r>
        <w:rPr>
          <w:rFonts w:ascii="Calibri" w:hAnsi="Calibri"/>
          <w:b w:val="0"/>
          <w:sz w:val="22"/>
        </w:rPr>
        <w:t>An accessibility audit found multiple pages on the agency website failing WCAG 2.1 AA. An outsourced upgrade is required, to be completed and re-tested within 4 months of contract award.</w:t>
      </w:r>
    </w:p>
    <w:p>
      <w:pPr>
        <w:pStyle w:val="Heading1"/>
      </w:pPr>
      <w:r>
        <w:t>SOW Template Structure (fill in per template)</w:t>
      </w:r>
    </w:p>
    <w:p>
      <w:pPr>
        <w:pStyle w:val="ListBullet"/>
      </w:pPr>
      <w:r>
        <w:rPr>
          <w:rFonts w:ascii="Calibri" w:hAnsi="Calibri"/>
          <w:b w:val="0"/>
          <w:sz w:val="20"/>
        </w:rPr>
        <w:t>1. Project background and purpose</w:t>
      </w:r>
    </w:p>
    <w:p>
      <w:pPr>
        <w:pStyle w:val="ListBullet"/>
      </w:pPr>
      <w:r>
        <w:rPr>
          <w:rFonts w:ascii="Calibri" w:hAnsi="Calibri"/>
          <w:b w:val="0"/>
          <w:sz w:val="20"/>
        </w:rPr>
        <w:t>2. Scope of work</w:t>
      </w:r>
    </w:p>
    <w:p>
      <w:pPr>
        <w:pStyle w:val="ListBullet"/>
      </w:pPr>
      <w:r>
        <w:rPr>
          <w:rFonts w:ascii="Calibri" w:hAnsi="Calibri"/>
          <w:b w:val="0"/>
          <w:sz w:val="20"/>
        </w:rPr>
        <w:t>3. Timeline and phase deliverables</w:t>
      </w:r>
    </w:p>
    <w:p>
      <w:pPr>
        <w:pStyle w:val="ListBullet"/>
      </w:pPr>
      <w:r>
        <w:rPr>
          <w:rFonts w:ascii="Calibri" w:hAnsi="Calibri"/>
          <w:b w:val="0"/>
          <w:sz w:val="20"/>
        </w:rPr>
        <w:t>4. Acceptance criteria</w:t>
      </w:r>
    </w:p>
    <w:p>
      <w:pPr>
        <w:pStyle w:val="ListBullet"/>
      </w:pPr>
      <w:r>
        <w:rPr>
          <w:rFonts w:ascii="Calibri" w:hAnsi="Calibri"/>
          <w:b w:val="0"/>
          <w:sz w:val="20"/>
        </w:rPr>
        <w:t>5. Vendor qualifications and required capabilities</w:t>
      </w:r>
    </w:p>
    <w:p>
      <w:pPr>
        <w:pStyle w:val="ListBullet"/>
      </w:pPr>
      <w:r>
        <w:rPr>
          <w:rFonts w:ascii="Calibri" w:hAnsi="Calibri"/>
          <w:b w:val="0"/>
          <w:sz w:val="20"/>
        </w:rPr>
        <w:t>6. Other provisions</w:t>
      </w:r>
    </w:p>
    <w:p>
      <w:pPr>
        <w:pStyle w:val="Heading1"/>
      </w:pPr>
      <w:r>
        <w:t>Known Spec Highlights (Draft)</w:t>
      </w:r>
    </w:p>
    <w:p>
      <w:pPr>
        <w:pStyle w:val="ListBullet"/>
      </w:pPr>
      <w:r>
        <w:rPr>
          <w:rFonts w:ascii="Calibri" w:hAnsi="Calibri"/>
          <w:b w:val="0"/>
          <w:sz w:val="20"/>
        </w:rPr>
        <w:t>All site pages must pass WCAG 2.1 AA automated and manual review</w:t>
      </w:r>
    </w:p>
    <w:p>
      <w:pPr>
        <w:pStyle w:val="ListBullet"/>
      </w:pPr>
      <w:r>
        <w:rPr>
          <w:rFonts w:ascii="Calibri" w:hAnsi="Calibri"/>
          <w:b w:val="0"/>
          <w:sz w:val="20"/>
        </w:rPr>
        <w:t>An accessibility statement page and issue-reporting mechanism are required</w:t>
      </w:r>
    </w:p>
    <w:p>
      <w:pPr>
        <w:pStyle w:val="ListBullet"/>
      </w:pPr>
      <w:r>
        <w:rPr>
          <w:rFonts w:ascii="Calibri" w:hAnsi="Calibri"/>
          <w:b w:val="0"/>
          <w:sz w:val="20"/>
        </w:rPr>
        <w:t>Acceptance: third-party accessibility test report + live walkthrough</w:t>
      </w:r>
    </w:p>
    <w:p>
      <w:pPr>
        <w:pStyle w:val="Heading1"/>
      </w:pPr>
      <w:r>
        <w:t>Note</w:t>
      </w:r>
    </w:p>
    <w:p>
      <w:r>
        <w:rPr>
          <w:rFonts w:ascii="Calibri" w:hAnsi="Calibri"/>
          <w:b w:val="0"/>
          <w:sz w:val="22"/>
        </w:rPr>
        <w:t>The above spec is a draft; final acceptance criteria must be adjusted per the latest conclusions in the requirement discussion meeting notes. This is a fictional, de-identified training sample; agencies, names and figures are placeholders, not a real case or official document.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