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E79"/>
          <w:sz w:val="40"/>
        </w:rPr>
        <w:t>Credit Case Background — Hongyun Smart Tech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b w:val="0"/>
          <w:sz w:val="22"/>
        </w:rPr>
        <w:t xml:space="preserve"> Input for the relationship manager to upload to Copilot Cowork so it can draft a credit recommendation memo. All information is fictional and de-identified for training.</w:t>
      </w:r>
    </w:p>
    <w:p>
      <w:pPr>
        <w:pStyle w:val="Heading1"/>
      </w:pPr>
      <w:r>
        <w:t>1. Borrower Profile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Company: Hongyun Smart Tech Co., Ltd.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Industry: Smart manufacturing / Industrial IoT (IIoT) solutions, including factory sensing, edge computing, and manufacturing data platforms.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Years in business: approximately 11 years; headquartered in Hsinchu Science Park with about 1,200 employees.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2025 revenue: NT$3.88B; export share approximately 42%, mainly Japan, Southeast Asia, and North America.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Bank relationship: the bank is one of the company's primary payroll and operating-collection banks; conduct has been normal.</w:t>
      </w:r>
    </w:p>
    <w:p>
      <w:pPr>
        <w:pStyle w:val="Heading1"/>
      </w:pPr>
      <w:r>
        <w:t>2. Facility Requested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Requested amount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NT$600M combined credit facility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Tenor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3 years, subject to annual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Expand AI-server testing line, purchase key components, and support working capital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Drawdown structure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NT$400M medium-term loan; NT$200M revolving working-capital 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Repayment source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Operating cash flow, collection of key customer receivables, and existing cash balances</w:t>
            </w:r>
          </w:p>
        </w:tc>
      </w:tr>
    </w:tbl>
    <w:p>
      <w:pPr>
        <w:pStyle w:val="Heading1"/>
      </w:pPr>
      <w:r>
        <w:t>3. Three-Year Financial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Revenue (NT$m)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Gross Margin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Net Income (NT$m)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Current Ratio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D/E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3,050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36.0%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145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1.32x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1.05x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3,520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34.5%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168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1.28x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1.12x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3,880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33.8%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154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1.21x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0"/>
              </w:rPr>
              <w:t>1.26x</w:t>
            </w:r>
          </w:p>
        </w:tc>
      </w:tr>
    </w:tbl>
    <w:p>
      <w:r>
        <w:rPr>
          <w:rFonts w:ascii="Calibri" w:hAnsi="Calibri"/>
          <w:b w:val="0"/>
          <w:sz w:val="22"/>
        </w:rPr>
        <w:t>Note: The 2025 gross-margin decline was mainly due to early-stage yield issues and higher component costs for new products. Unaudited H1 2026 revenue was approximately NT$2.04B, up about 9% YoY.</w:t>
      </w:r>
    </w:p>
    <w:p>
      <w:pPr>
        <w:pStyle w:val="Heading1"/>
      </w:pPr>
      <w:r>
        <w:t>4. Collateral and Existing Exposure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Collateral: first-lien mortgage over Hsinchu factory/office property valued at approximately NT$480M; key receivables assignment for bank records.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Existing exposure with the bank: NT$150M short-term working-capital line, average utilization 62%, interest payments current.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Other bank exposure: syndicated and equipment loans totaling approximately NT$520M; no overdue record.</w:t>
      </w:r>
    </w:p>
    <w:p>
      <w:pPr>
        <w:pStyle w:val="Heading1"/>
      </w:pPr>
      <w:r>
        <w:t>5. Known Risk Points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Industry cyclicality: semiconductor and smart-manufacturing capex is cyclical; order visibility is about 6–9 months.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Customer concentration: top five customers represented about 48% of 2025 revenue; the largest single customer represented 17%.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FX exposure: USD revenue and JPY procurement both exist; inadequate hedging could affect gross margin.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Working-capital pressure: longer new-line material lead times increased inventory days from 76 in 2024 to 88 in 2025.</w:t>
      </w:r>
    </w:p>
    <w:p>
      <w:r>
        <w:rPr>
          <w:rFonts w:ascii="Calibri" w:hAnsi="Calibri"/>
          <w:b w:val="0"/>
          <w:sz w:val="22"/>
        </w:rPr>
        <w:t>This is a fictional, de-identified training sample; it is not investment advice, a credit commitment, or a guarantee of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