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数据泄露事件初步调查报告（内部机密）</w:t>
      </w:r>
    </w:p>
    <w:p>
      <w:r>
        <w:t>事件编号：IR-2026-0411 / 上报时间：2026/04/11 06:42 / 严重级别：P1</w:t>
      </w:r>
    </w:p>
    <w:p>
      <w:pPr>
        <w:pStyle w:val="Heading1"/>
      </w:pPr>
      <w:r>
        <w:t>事件概要</w:t>
      </w:r>
    </w:p>
    <w:p>
      <w:r>
        <w:t>公司线上会员系统于 2026/04/10 23:18 监测到异常 API 调用，初判是攻击者利用 OAuth refresh token 漏洞发起撞库攻击。安全运营中心于 04/11 03:25 确认攻击者已访问会员个人信息数据表，预计受影响会员约 38.2 万人，泄露字段包括：姓名、手机号、邮箱、出生日期、订单摘要。银行卡信息因 PCI DSS 隔离架构未受影响。</w:t>
      </w:r>
    </w:p>
    <w:p>
      <w:pPr>
        <w:pStyle w:val="Heading1"/>
      </w:pPr>
      <w:r>
        <w:t>已采取的措施</w:t>
      </w:r>
    </w:p>
    <w:p>
      <w:pPr>
        <w:pStyle w:val="ListBullet"/>
      </w:pPr>
      <w:r>
        <w:t>04/11 03:30 强制下线全部会话并作废所有 refresh token</w:t>
      </w:r>
    </w:p>
    <w:p>
      <w:pPr>
        <w:pStyle w:val="ListBullet"/>
      </w:pPr>
      <w:r>
        <w:t>04/11 04:15 完成漏洞修复并上线 WAF 规则</w:t>
      </w:r>
    </w:p>
    <w:p>
      <w:pPr>
        <w:pStyle w:val="ListBullet"/>
      </w:pPr>
      <w:r>
        <w:t>04/11 05:00 委托某国际安全咨询公司应急响应团队介入</w:t>
      </w:r>
    </w:p>
    <w:p>
      <w:pPr>
        <w:pStyle w:val="ListBullet"/>
      </w:pPr>
      <w:r>
        <w:t>04/11 06:00 依《个人信息保护法》第 57 条向国家网信部门和公安机关报告</w:t>
      </w:r>
    </w:p>
    <w:p>
      <w:pPr>
        <w:pStyle w:val="Heading1"/>
      </w:pPr>
      <w:r>
        <w:t>外部风险</w:t>
      </w:r>
    </w:p>
    <w:p>
      <w:r>
        <w:t>已知某主流财经媒体记者收到匿名爆料，预计最迟 04/11 14:00 前发稿。某数码论坛与某社交平台已有零星讨论。日本子公司同时受 GDPR 与日本个人信息保护法双重通报义务约束。</w:t>
      </w:r>
    </w:p>
    <w:p>
      <w:pPr>
        <w:pStyle w:val="Heading1"/>
      </w:pPr>
      <w:r>
        <w:t>待决议事项</w:t>
      </w:r>
    </w:p>
    <w:p>
      <w:pPr>
        <w:pStyle w:val="ListBullet"/>
      </w:pPr>
      <w:r>
        <w:t>对外声明的发布时点与渠道（同步发布 vs 媒体先行）</w:t>
      </w:r>
    </w:p>
    <w:p>
      <w:pPr>
        <w:pStyle w:val="ListBullet"/>
      </w:pPr>
      <w:r>
        <w:t>是否启动“逐一联系全部受影响会员”（成本约人民币 280 万元）</w:t>
      </w:r>
    </w:p>
    <w:p>
      <w:pPr>
        <w:pStyle w:val="ListBullet"/>
      </w:pPr>
      <w:r>
        <w:t>是否提供补偿方案（行业惯例：12 个月信用监控服务）</w:t>
      </w:r>
    </w:p>
    <w:p>
      <w:pPr>
        <w:pStyle w:val="ListBullet"/>
      </w:pPr>
      <w:r>
        <w:t>CEO 与首席安全官是否同台说明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