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新一代 AI 服务器产品上市 跨部门启动会 会议转写稿</w:t>
      </w:r>
    </w:p>
    <w:p>
      <w:r>
        <w:t>时间：2026/04/15 14:00–15:30 / 地点：深圳总部 B302 会议室 + Teams 线上同步 / 主持：产品负责人 陈建国</w:t>
      </w:r>
    </w:p>
    <w:p>
      <w:r>
        <w:t>出席：产品 周涛、研发 李雯、销售 王海涛、市场 张敏、供应链 刘伟、财务 赵倩、法务 孙丽</w:t>
      </w:r>
    </w:p>
    <w:p>
      <w:pPr>
        <w:pStyle w:val="Heading1"/>
      </w:pPr>
      <w:r>
        <w:t>转写正文</w:t>
      </w:r>
    </w:p>
    <w:p>
      <w:r>
        <w:t>陈建国：今天主要定三件事——上市时间、首批目标市场、定价策略。先请李雯说研发进度。</w:t>
      </w:r>
    </w:p>
    <w:p>
      <w:r>
        <w:t>李雯：研发这边 PVT 已完成 90%，只剩散热在 45°C 环境下还差 2°C 余量，预计 5/20 补测完。BMC 固件 7.2 版上周通过安全扫描，CVE 全部清零。整体研发发布仍然可以守住 6/30 GA。</w:t>
      </w:r>
    </w:p>
    <w:p>
      <w:r>
        <w:t>王海涛：销售这边我担心的是大客户——客户 A 已经要求 7/15 交付第一批 500 台，客户 B 是 8 月，客户 C 还在签保密协议。如果 GA 卡在 6/30，第一批量产爬坡来得及吗刘伟？</w:t>
      </w:r>
    </w:p>
    <w:p>
      <w:r>
        <w:t>刘伟：6/30 GA 供应链这边压力很大。GPU 配额某 GPU 大厂 7 月只给我们 2,000 颗，但销售承诺的是 3,500。HBM3e 内存要等某韩系存储大厂 8 月才有量。我建议第一批优先保客户 A，客户 B 顺延两周。</w:t>
      </w:r>
    </w:p>
    <w:p>
      <w:r>
        <w:t>张敏：市场侧上市活动已经准备好了，某国际电脑展之后紧接着 7/8 在硅谷办发布会，要不要把日期再往后挪？媒体那边 save the date 已经发出去了。</w:t>
      </w:r>
    </w:p>
    <w:p>
      <w:r>
        <w:t>赵倩：财务提醒一下，定价会直接影响 22% 的毛利目标。原定 USD 32,000/台，但某 IDM 大厂新一代 AI 加速器上周宣布同规格 USD 28,500。如果我们跟着降，毛利会掉到 18%。</w:t>
      </w:r>
    </w:p>
    <w:p>
      <w:r>
        <w:t>周涛：我觉得我们的差异化在液冷整体方案，可以再加 USD 1,500 的服务费打包，整体 TCO 还是赢对手。</w:t>
      </w:r>
    </w:p>
    <w:p>
      <w:r>
        <w:t>孙丽：法务提醒，跟客户 A 的合同里有最惠客户条款，如果给客户 B 更好的价格，要提前 30 天通知客户 A。建议定价结构拆开——硬件价格一致、服务分档。</w:t>
      </w:r>
    </w:p>
    <w:p>
      <w:r>
        <w:t>陈建国：好，那就这么定：(1) GA 维持 6/30，李雯散热补测 5/25 前完成；(2) 交付顺序客户 A 7/15 → 客户 B 8/01 → 客户 C 待签约；(3) 定价维持 USD 32,000，另推“白金液冷服务包”USD 2,000；(4) 发布会改到 7/22；(5) 孙丽 5/15 前给出最惠客户条款的解决方案。下次会议 4/29。散会。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