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公司差旅与业务招待管理制度 v3.2（2026/01 修订）</w:t>
      </w:r>
    </w:p>
    <w:p>
      <w:pPr>
        <w:pStyle w:val="Heading1"/>
      </w:pPr>
      <w:r>
        <w:t>1. 适用范围</w:t>
      </w:r>
    </w:p>
    <w:p>
      <w:r>
        <w:t>本制度适用于公司及全球子公司全体员工的因公出差。外包人员与顾问另按合同约定执行。</w:t>
      </w:r>
    </w:p>
    <w:p>
      <w:pPr>
        <w:pStyle w:val="Heading1"/>
      </w:pPr>
      <w:r>
        <w:t>2. 出差申请与审批</w:t>
      </w:r>
    </w:p>
    <w:p>
      <w:pPr>
        <w:pStyle w:val="ListBullet"/>
      </w:pPr>
      <w:r>
        <w:t>境内出差：直属领导审批（单次 &lt; 3 天）；超过 3 天需部门负责人审批</w:t>
      </w:r>
    </w:p>
    <w:p>
      <w:pPr>
        <w:pStyle w:val="ListBullet"/>
      </w:pPr>
      <w:r>
        <w:t>亚洲出差：事业部副总裁审批；单次总费用 &gt; 人民币 3 万元还需事业群总经理审批</w:t>
      </w:r>
    </w:p>
    <w:p>
      <w:pPr>
        <w:pStyle w:val="ListBullet"/>
      </w:pPr>
      <w:r>
        <w:t>美洲/欧洲出差：事业群总经理审批；单次总费用 &gt; 人民币 10 万元需 CEO 审批</w:t>
      </w:r>
    </w:p>
    <w:p>
      <w:pPr>
        <w:pStyle w:val="ListBullet"/>
      </w:pPr>
      <w:r>
        <w:t>出差申请应在出发前 14 个自然日完成系统提交（紧急出差可事后补办）</w:t>
      </w:r>
    </w:p>
    <w:p>
      <w:pPr>
        <w:pStyle w:val="Heading1"/>
      </w:pPr>
      <w:r>
        <w:t>3. 机票</w:t>
      </w:r>
    </w:p>
    <w:p>
      <w:pPr>
        <w:pStyle w:val="ListBullet"/>
      </w:pPr>
      <w:r>
        <w:t>经济舱：飞行时长 &lt; 6 小时一律经济舱</w:t>
      </w:r>
    </w:p>
    <w:p>
      <w:pPr>
        <w:pStyle w:val="ListBullet"/>
      </w:pPr>
      <w:r>
        <w:t>超级经济舱：飞行时长 6–12 小时，总监级及以上适用</w:t>
      </w:r>
    </w:p>
    <w:p>
      <w:pPr>
        <w:pStyle w:val="ListBullet"/>
      </w:pPr>
      <w:r>
        <w:t>公务舱：飞行时长 &gt; 12 小时，或副总裁级及以上</w:t>
      </w:r>
    </w:p>
    <w:p>
      <w:pPr>
        <w:pStyle w:val="ListBullet"/>
      </w:pPr>
      <w:r>
        <w:t>头等舱：仅限 CEO，或客户明确要求且事先审批通过</w:t>
      </w:r>
    </w:p>
    <w:p>
      <w:pPr>
        <w:pStyle w:val="ListBullet"/>
      </w:pPr>
      <w:r>
        <w:t>里程归属：里程归个人所有；用兑换的奖励机票执行公务须提前报备</w:t>
      </w:r>
    </w:p>
    <w:p>
      <w:pPr>
        <w:pStyle w:val="ListBullet"/>
      </w:pPr>
      <w:r>
        <w:t>顺延个人行程：允许在出差前后自行延长停留，但机票须按“同等舱位、原定往返日期”的报价为报销上限，差价由个人承担；延长期间的住宿、餐费、保险一律自理，且不计入工伤保险范围</w:t>
      </w:r>
    </w:p>
    <w:p>
      <w:pPr>
        <w:pStyle w:val="Heading1"/>
      </w:pPr>
      <w:r>
        <w:t>4. 住宿</w:t>
      </w:r>
    </w:p>
    <w:p>
      <w:pPr>
        <w:pStyle w:val="ListBullet"/>
      </w:pPr>
      <w:r>
        <w:t>北京/上海/深圳/广州：上限人民币 800 元/晚</w:t>
      </w:r>
    </w:p>
    <w:p>
      <w:pPr>
        <w:pStyle w:val="ListBullet"/>
      </w:pPr>
      <w:r>
        <w:t>其他境内城市：上限人民币 600 元/晚</w:t>
      </w:r>
    </w:p>
    <w:p>
      <w:pPr>
        <w:pStyle w:val="ListBullet"/>
      </w:pPr>
      <w:r>
        <w:t>东京/首尔/香港/新加坡：上限 USD 280/晚</w:t>
      </w:r>
    </w:p>
    <w:p>
      <w:pPr>
        <w:pStyle w:val="ListBullet"/>
      </w:pPr>
      <w:r>
        <w:t>旧金山/纽约/伦敦：上限 USD 350/晚</w:t>
      </w:r>
    </w:p>
    <w:p>
      <w:pPr>
        <w:pStyle w:val="ListBullet"/>
      </w:pPr>
      <w:r>
        <w:t>其他境外城市：上限 USD 220/晚</w:t>
      </w:r>
    </w:p>
    <w:p>
      <w:pPr>
        <w:pStyle w:val="ListBullet"/>
      </w:pPr>
      <w:r>
        <w:t>超出上限须事先审批并附说明；客户或主办方统一安排的住宿仍适用本条</w:t>
      </w:r>
    </w:p>
    <w:p>
      <w:pPr>
        <w:pStyle w:val="Heading1"/>
      </w:pPr>
      <w:r>
        <w:t>5. 餐费（含服务费）</w:t>
      </w:r>
    </w:p>
    <w:p>
      <w:pPr>
        <w:pStyle w:val="ListBullet"/>
      </w:pPr>
      <w:r>
        <w:t>境内：人民币 200 元/日</w:t>
      </w:r>
    </w:p>
    <w:p>
      <w:pPr>
        <w:pStyle w:val="ListBullet"/>
      </w:pPr>
      <w:r>
        <w:t>亚洲（不含日韩）：USD 50/日</w:t>
      </w:r>
    </w:p>
    <w:p>
      <w:pPr>
        <w:pStyle w:val="ListBullet"/>
      </w:pPr>
      <w:r>
        <w:t>日韩/澳大利亚：USD 75/日</w:t>
      </w:r>
    </w:p>
    <w:p>
      <w:pPr>
        <w:pStyle w:val="ListBullet"/>
      </w:pPr>
      <w:r>
        <w:t>欧美：USD 90/日</w:t>
      </w:r>
    </w:p>
    <w:p>
      <w:pPr>
        <w:pStyle w:val="Heading1"/>
      </w:pPr>
      <w:r>
        <w:t>6. 业务招待</w:t>
      </w:r>
    </w:p>
    <w:p>
      <w:pPr>
        <w:pStyle w:val="ListBullet"/>
      </w:pPr>
      <w:r>
        <w:t>客户招待（含餐费）：每人每次上限人民币 500 元；单次总额 &gt; 人民币 3,000 元需事业部副总裁事前审批</w:t>
      </w:r>
    </w:p>
    <w:p>
      <w:pPr>
        <w:pStyle w:val="ListBullet"/>
      </w:pPr>
      <w:r>
        <w:t>酒水：单次酒水金额不得超过该次招待餐费总额的 30%，且须在报销单中单独列示；烈酒与年份酒一律不予报销</w:t>
      </w:r>
    </w:p>
    <w:p>
      <w:pPr>
        <w:pStyle w:val="ListBullet"/>
      </w:pPr>
      <w:r>
        <w:t>报销时须列明被招待方单位、姓名、人数与事由，不得以“业务费”笼统列支</w:t>
      </w:r>
    </w:p>
    <w:p>
      <w:pPr>
        <w:pStyle w:val="ListBullet"/>
      </w:pPr>
      <w:r>
        <w:t>涉及公职人员的招待一律禁止</w:t>
      </w:r>
    </w:p>
    <w:p>
      <w:pPr>
        <w:pStyle w:val="Heading1"/>
      </w:pPr>
      <w:r>
        <w:t>7. 内部聚餐与团队活动</w:t>
      </w:r>
    </w:p>
    <w:p>
      <w:pPr>
        <w:pStyle w:val="ListBullet"/>
      </w:pPr>
      <w:r>
        <w:t>部门内部团建：按人力资源部年度团建预算列支，人均上限人民币 300 元/次，每季度不超过 1 次</w:t>
      </w:r>
    </w:p>
    <w:p>
      <w:pPr>
        <w:pStyle w:val="ListBullet"/>
      </w:pPr>
      <w:r>
        <w:t>跨部门工作性聚餐：须由发起部门负责人事前审批，人均上限人民币 200 元/次，并在申请中说明工作事由与参与部门</w:t>
      </w:r>
    </w:p>
    <w:p>
      <w:pPr>
        <w:pStyle w:val="ListBullet"/>
      </w:pPr>
      <w:r>
        <w:t>不得将内部聚餐计入“业务招待费”科目</w:t>
      </w:r>
    </w:p>
    <w:p>
      <w:pPr>
        <w:pStyle w:val="Heading1"/>
      </w:pPr>
      <w:r>
        <w:t>8. 市内交通</w:t>
      </w:r>
    </w:p>
    <w:p>
      <w:pPr>
        <w:pStyle w:val="ListBullet"/>
      </w:pPr>
      <w:r>
        <w:t>高铁：二等座；一等座仅限副总裁级及以上</w:t>
      </w:r>
    </w:p>
    <w:p>
      <w:pPr>
        <w:pStyle w:val="ListBullet"/>
      </w:pPr>
      <w:r>
        <w:t>出租车/网约车：不设总额限制但须提供发票；单程超过人民币 300 元的，须在报销单中注明事由（如深夜航班、携带设备、无公共交通可达等）</w:t>
      </w:r>
    </w:p>
    <w:p>
      <w:pPr>
        <w:pStyle w:val="ListBullet"/>
      </w:pPr>
      <w:r>
        <w:t>租车：总监级及以上或团队出差适用，须提供公务驾驶资质证明</w:t>
      </w:r>
    </w:p>
    <w:p>
      <w:pPr>
        <w:pStyle w:val="Heading1"/>
      </w:pPr>
      <w:r>
        <w:t>9. 报销期限与凭证</w:t>
      </w:r>
    </w:p>
    <w:p>
      <w:pPr>
        <w:pStyle w:val="ListBullet"/>
      </w:pPr>
      <w:r>
        <w:t>出差结束后 10 个工作日内完成报销</w:t>
      </w:r>
    </w:p>
    <w:p>
      <w:pPr>
        <w:pStyle w:val="ListBullet"/>
      </w:pPr>
      <w:r>
        <w:t>须附：登机牌/车票、住宿发票、餐费凭证（单笔 &lt; 人民币 100 元可免）</w:t>
      </w:r>
    </w:p>
    <w:p>
      <w:pPr>
        <w:pStyle w:val="ListBullet"/>
      </w:pPr>
      <w:r>
        <w:t>电子发票须为 PDF 格式并包含开票方纳税人识别号</w:t>
      </w:r>
    </w:p>
    <w:p>
      <w:pPr>
        <w:pStyle w:val="Heading1"/>
      </w:pPr>
      <w:r>
        <w:t>10. 绿色差旅</w:t>
      </w:r>
    </w:p>
    <w:p>
      <w:pPr>
        <w:pStyle w:val="ListBullet"/>
      </w:pPr>
      <w:r>
        <w:t>4 小时以内行程鼓励改乘高铁</w:t>
      </w:r>
    </w:p>
    <w:p>
      <w:pPr>
        <w:pStyle w:val="ListBullet"/>
      </w:pPr>
      <w:r>
        <w:t>公务碳预算：每人每年 5 tCO2e，超出须事业群副总裁批准</w:t>
      </w:r>
    </w:p>
    <w:p>
      <w:pPr>
        <w:pStyle w:val="ListBullet"/>
      </w:pPr>
      <w:r>
        <w:t>视频会议可以替代的差旅应优先采用</w:t>
      </w:r>
    </w:p>
    <w:p>
      <w:pPr>
        <w:pStyle w:val="Heading1"/>
      </w:pPr>
      <w:r>
        <w:t>11. 违规处理</w:t>
      </w:r>
    </w:p>
    <w:p>
      <w:r>
        <w:t>未按本制度审批而发生的费用，原则上不予报销。重大违规按《员工手册》第 18 条处理。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