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2025 年第一季 業務回顧報告</w:t>
      </w:r>
    </w:p>
    <w:p>
      <w:pPr>
        <w:pStyle w:val="Heading1"/>
      </w:pPr>
      <w:r>
        <w:t>一、整體業績摘要</w:t>
      </w:r>
    </w:p>
    <w:p>
      <w:r>
        <w:t>2025 年第一季公司整體營收達新台幣 8.5 億元，較去年同期成長 18%，其中亞太區成長 25%，為歷年最佳表現。毛利率維持在 42%，淨利率提升至 15%。主要動能來自雲端訂閱服務 (+40%) 與 AI 解決方案導入 (+62%)。</w:t>
      </w:r>
    </w:p>
    <w:p>
      <w:pPr>
        <w:pStyle w:val="Heading1"/>
      </w:pPr>
      <w:r>
        <w:t>二、產品線表現</w:t>
      </w:r>
    </w:p>
    <w:p>
      <w:r>
        <w:t>• 雲端服務：營收 3.2 億，YoY +40%</w:t>
      </w:r>
    </w:p>
    <w:p>
      <w:r>
        <w:t>• AI 解決方案：營收 1.8 億，YoY +62%</w:t>
      </w:r>
    </w:p>
    <w:p>
      <w:r>
        <w:t>• 傳統授權軟體：營收 2.1 億，YoY -8%</w:t>
      </w:r>
    </w:p>
    <w:p>
      <w:r>
        <w:t>• 專業服務：營收 1.4 億，YoY +12%</w:t>
      </w:r>
    </w:p>
    <w:p>
      <w:pPr>
        <w:pStyle w:val="Heading1"/>
      </w:pPr>
      <w:r>
        <w:t>三、市場與客戶</w:t>
      </w:r>
    </w:p>
    <w:p>
      <w:r>
        <w:t>本季新增企業客戶 87 家，其中 23 家為大型企業 (Fortune 500)。製造業與金融業仍為主力市場，合計貢獻 58% 營收。零售業需求快速攀升，與去年同期相比成長 35%。</w:t>
      </w:r>
    </w:p>
    <w:p>
      <w:pPr>
        <w:pStyle w:val="Heading1"/>
      </w:pPr>
      <w:r>
        <w:t>四、挑戰與風險</w:t>
      </w:r>
    </w:p>
    <w:p>
      <w:r>
        <w:t>1. 美元匯率波動影響外銷毛利約 1.5 個百分點。</w:t>
      </w:r>
    </w:p>
    <w:p>
      <w:r>
        <w:t>2. 雲端基礎建設成本上升 12%，需檢討定價策略。</w:t>
      </w:r>
    </w:p>
    <w:p>
      <w:r>
        <w:t>3. 高階 AI 人才招募競爭激烈，第一季空缺率達 18%。</w:t>
      </w:r>
    </w:p>
    <w:p>
      <w:pPr>
        <w:pStyle w:val="Heading1"/>
      </w:pPr>
      <w:r>
        <w:t>五、下一季重點</w:t>
      </w:r>
    </w:p>
    <w:p>
      <w:r>
        <w:t>聚焦三大戰略：（1）擴大 AI 產品線、發表新一代多模態解決方案；（2）深化亞太市場通路布局，新增 5 個城市辦公室；（3）完成 SOC2 與 ISO 27001 雙認證強化客戶信任。</w:t>
      </w:r>
    </w:p>
    <w:p/>
    <w:p>
      <w:r>
        <w:t>— 報告結束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