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年第一季度业务回顾报告</w:t>
      </w:r>
    </w:p>
    <w:p>
      <w:pPr>
        <w:pStyle w:val="Heading1"/>
      </w:pPr>
      <w:r>
        <w:t>一、整体业绩概览</w:t>
      </w:r>
    </w:p>
    <w:p>
      <w:r>
        <w:t>一季度公司整体营收 19.6 亿元人民币，同比增长 18%，其中华东区增长 25%，创下历史最好成绩。毛利率稳定在 42%，净利率提升到 15%。增长主要由两块业务带动：云订阅服务同比 +40%，AI 解决方案落地同比 +62%。</w:t>
      </w:r>
    </w:p>
    <w:p>
      <w:pPr>
        <w:pStyle w:val="Heading1"/>
      </w:pPr>
      <w:r>
        <w:t>二、各产品线表现</w:t>
      </w:r>
    </w:p>
    <w:p>
      <w:r>
        <w:t>• 云服务：营收 7.4 亿元，同比 +40%</w:t>
      </w:r>
    </w:p>
    <w:p>
      <w:r>
        <w:t>• AI 解决方案：营收 4.2 亿元，同比 +62%</w:t>
      </w:r>
    </w:p>
    <w:p>
      <w:r>
        <w:t>• 传统授权软件：营收 4.8 亿元，同比 -8%</w:t>
      </w:r>
    </w:p>
    <w:p>
      <w:r>
        <w:t>• 专业服务：营收 3.2 亿元，同比 +12%</w:t>
      </w:r>
    </w:p>
    <w:p>
      <w:pPr>
        <w:pStyle w:val="Heading1"/>
      </w:pPr>
      <w:r>
        <w:t>三、市场与客户</w:t>
      </w:r>
    </w:p>
    <w:p>
      <w:r>
        <w:t>本季度新签企业客户 87 家，其中 23 家为大型集团客户。制造业和金融业依然是主力市场，两者合计贡献 58% 的营收。零售行业需求增长很快，同比增长 35%，值得重点跟进。</w:t>
      </w:r>
    </w:p>
    <w:p>
      <w:pPr>
        <w:pStyle w:val="Heading1"/>
      </w:pPr>
      <w:r>
        <w:t>四、风险与挑战</w:t>
      </w:r>
    </w:p>
    <w:p>
      <w:r>
        <w:t>1. 汇率波动对出口业务毛利的影响约为 1.5 个百分点。</w:t>
      </w:r>
    </w:p>
    <w:p>
      <w:r>
        <w:t>2. 云基础设施成本上涨 12%，定价策略需要重新测算。</w:t>
      </w:r>
    </w:p>
    <w:p>
      <w:r>
        <w:t>3. 高端 AI 人才争夺激烈，一季度岗位空缺率达到 18%。</w:t>
      </w:r>
    </w:p>
    <w:p>
      <w:pPr>
        <w:pStyle w:val="Heading1"/>
      </w:pPr>
      <w:r>
        <w:t>五、下季度工作重点</w:t>
      </w:r>
    </w:p>
    <w:p>
      <w:r>
        <w:t>下个季度重点抓三件事：一是扩充 AI 产品线，发布新一代多模态解决方案；二是加密区域渠道布局，新设 5 个城市办事处；三是完成 SOC2 与 ISO 27001 双认证，把客户的信任基础打牢。</w:t>
      </w:r>
    </w:p>
    <w:p/>
    <w:p>
      <w: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