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高校思政 VR 百校复制方案</w:t>
      </w:r>
    </w:p>
    <w:p>
      <w:pPr>
        <w:jc w:val="center"/>
      </w:pPr>
      <w:r>
        <w:rPr>
          <w:b/>
        </w:rPr>
        <w:t>版本号：V3.0（终极版）</w:t>
        <w:br/>
      </w:r>
      <w:r>
        <w:t>编制日期：2026 年 4 月</w:t>
        <w:br/>
      </w:r>
      <w:r>
        <w:t>编制单位：[公司名称]</w:t>
      </w:r>
    </w:p>
    <w:p/>
    <w:p>
      <w:pPr>
        <w:jc w:val="center"/>
      </w:pPr>
      <w:r>
        <w:rPr>
          <w:b/>
          <w:color w:val="C80000"/>
          <w:sz w:val="28"/>
        </w:rPr>
        <w:t>🔴 中宣部学习强国领衔出品 | 🎬 国家电影局首个 VR 龙标认证</w:t>
        <w:br/>
      </w:r>
    </w:p>
    <w:p/>
    <w:p>
      <w:r>
        <w:t>【核心优势】学习强国 + 龙标双重背书，政治安全 100% 保障，竞品 100% 无法复制</w:t>
      </w:r>
    </w:p>
    <w:p/>
    <w:p>
      <w:pPr>
        <w:pStyle w:val="Heading1"/>
      </w:pPr>
      <w:r>
        <w:t>目录</w:t>
      </w:r>
    </w:p>
    <w:p>
      <w:pPr>
        <w:pStyle w:val="ListNumber"/>
      </w:pPr>
      <w:r>
        <w:t>1. 执行摘要</w:t>
      </w:r>
    </w:p>
    <w:p>
      <w:pPr>
        <w:pStyle w:val="ListNumber"/>
      </w:pPr>
      <w:r>
        <w:t>2. 独家资源优势（学习强国 + 龙标）</w:t>
      </w:r>
    </w:p>
    <w:p>
      <w:pPr>
        <w:pStyle w:val="ListNumber"/>
      </w:pPr>
      <w:r>
        <w:t>3. 项目背景与政策风口</w:t>
      </w:r>
    </w:p>
    <w:p>
      <w:pPr>
        <w:pStyle w:val="ListNumber"/>
      </w:pPr>
      <w:r>
        <w:t>4. 桂林学院标杆案例</w:t>
      </w:r>
    </w:p>
    <w:p>
      <w:pPr>
        <w:pStyle w:val="ListNumber"/>
      </w:pPr>
      <w:r>
        <w:t>5. 三档合作方案</w:t>
      </w:r>
    </w:p>
    <w:p>
      <w:pPr>
        <w:pStyle w:val="ListNumber"/>
      </w:pPr>
      <w:r>
        <w:t>6. 课程体系与教材对标</w:t>
      </w:r>
    </w:p>
    <w:p>
      <w:pPr>
        <w:pStyle w:val="ListNumber"/>
      </w:pPr>
      <w:r>
        <w:t>7. 四阶教学闭环设计</w:t>
      </w:r>
    </w:p>
    <w:p>
      <w:pPr>
        <w:pStyle w:val="ListNumber"/>
      </w:pPr>
      <w:r>
        <w:t>8. AIGC 技术服务</w:t>
      </w:r>
    </w:p>
    <w:p>
      <w:pPr>
        <w:pStyle w:val="ListNumber"/>
      </w:pPr>
      <w:r>
        <w:t>9. 财务测算与投资回报</w:t>
      </w:r>
    </w:p>
    <w:p>
      <w:pPr>
        <w:pStyle w:val="ListNumber"/>
      </w:pPr>
      <w:r>
        <w:t>10. 百校复制路线图</w:t>
      </w:r>
    </w:p>
    <w:p>
      <w:pPr>
        <w:pStyle w:val="ListNumber"/>
      </w:pPr>
      <w:r>
        <w:t>11. 竞品分析与差异化</w:t>
      </w:r>
    </w:p>
    <w:p>
      <w:pPr>
        <w:pStyle w:val="ListNumber"/>
      </w:pPr>
      <w:r>
        <w:t>12. Demo 演示方案</w:t>
      </w:r>
    </w:p>
    <w:p>
      <w:pPr>
        <w:pStyle w:val="ListNumber"/>
      </w:pPr>
      <w:r>
        <w:t>13. 交付标准与服务承诺</w:t>
      </w:r>
    </w:p>
    <w:p>
      <w:pPr>
        <w:pStyle w:val="ListNumber"/>
      </w:pPr>
      <w:r>
        <w:t>14. 常见问题 FAQ</w:t>
      </w:r>
    </w:p>
    <w:p>
      <w:pPr>
        <w:pStyle w:val="ListNumber"/>
      </w:pPr>
      <w:r>
        <w:t>15. 附录</w:t>
      </w:r>
    </w:p>
    <w:p>
      <w:r>
        <w:br w:type="page"/>
      </w:r>
    </w:p>
    <w:p>
      <w:pPr>
        <w:pStyle w:val="Heading1"/>
      </w:pPr>
      <w:r>
        <w:t>1. 执行摘要</w:t>
      </w:r>
    </w:p>
    <w:p>
      <w:pPr>
        <w:pStyle w:val="Heading2"/>
      </w:pPr>
      <w:r>
        <w:t>1.1 项目定位</w:t>
      </w:r>
    </w:p>
    <w:p>
      <w:r>
        <w:t>本项目是全国首个高校思政 VR 轻资产运营标杆项目，核心内容获中宣部学习强国领衔出品、国家电影局首个 VR 龙标认证。以桂林学院为起点，计划 3 年内复制推广至 100 所高校，打造沉浸式思政教育新生态。</w:t>
      </w:r>
    </w:p>
    <w:p>
      <w:pPr>
        <w:pStyle w:val="Heading2"/>
      </w:pPr>
      <w:r>
        <w:t>1.2 核心优势（竞品无法复制）</w:t>
      </w:r>
    </w:p>
    <w:p>
      <w:pPr>
        <w:pStyle w:val="ListBullet"/>
      </w:pPr>
      <w:r>
        <w:t>🔴 独家背书：中宣部学习强国领衔出品 + 国家电影局首个 VR 龙标认证，政治安全 100% 保障</w:t>
      </w:r>
    </w:p>
    <w:p>
      <w:pPr>
        <w:pStyle w:val="ListBullet"/>
      </w:pPr>
      <w:r>
        <w:t>🎬 内容审查：通过国家最高级别内容审查，高校采购零风险，审批无障碍</w:t>
      </w:r>
    </w:p>
    <w:p>
      <w:pPr>
        <w:pStyle w:val="ListBullet"/>
      </w:pPr>
      <w:r>
        <w:t>📚 教材对标：课程体系与《中国近代史纲要（2023 版）》精准对应</w:t>
      </w:r>
    </w:p>
    <w:p>
      <w:pPr>
        <w:pStyle w:val="ListBullet"/>
      </w:pPr>
      <w:r>
        <w:t>🤖 AIGC 赋能：校本课程 AI 生成、AI 教学助手、学习报告自动生成</w:t>
      </w:r>
    </w:p>
    <w:p>
      <w:pPr>
        <w:pStyle w:val="ListBullet"/>
      </w:pPr>
      <w:r>
        <w:t>📊 商业验证：桂林学院项目已验证，设备销售 + 订阅+AIGC 三轮驱动</w:t>
      </w:r>
    </w:p>
    <w:p>
      <w:pPr>
        <w:pStyle w:val="Heading2"/>
      </w:pPr>
      <w:r>
        <w:t>1.3 投资规模与回报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方案</w:t>
            </w:r>
          </w:p>
        </w:tc>
        <w:tc>
          <w:tcPr>
            <w:tcW w:type="dxa" w:w="1440"/>
          </w:tcPr>
          <w:p>
            <w:r>
              <w:t>首年投资</w:t>
            </w:r>
          </w:p>
        </w:tc>
        <w:tc>
          <w:tcPr>
            <w:tcW w:type="dxa" w:w="1440"/>
          </w:tcPr>
          <w:p>
            <w:r>
              <w:t>VR 设备</w:t>
            </w:r>
          </w:p>
        </w:tc>
        <w:tc>
          <w:tcPr>
            <w:tcW w:type="dxa" w:w="1440"/>
          </w:tcPr>
          <w:p>
            <w:r>
              <w:t>订阅/年</w:t>
            </w:r>
          </w:p>
        </w:tc>
        <w:tc>
          <w:tcPr>
            <w:tcW w:type="dxa" w:w="1440"/>
          </w:tcPr>
          <w:p>
            <w:r>
              <w:t>AIGC/年</w:t>
            </w:r>
          </w:p>
        </w:tc>
        <w:tc>
          <w:tcPr>
            <w:tcW w:type="dxa" w:w="1440"/>
          </w:tcPr>
          <w:p>
            <w:r>
              <w:t>回收期</w:t>
            </w:r>
          </w:p>
        </w:tc>
      </w:tr>
      <w:tr>
        <w:tc>
          <w:tcPr>
            <w:tcW w:type="dxa" w:w="1440"/>
          </w:tcPr>
          <w:p>
            <w:r>
              <w:t>标配</w:t>
            </w:r>
          </w:p>
        </w:tc>
        <w:tc>
          <w:tcPr>
            <w:tcW w:type="dxa" w:w="1440"/>
          </w:tcPr>
          <w:p>
            <w:r>
              <w:t>100 万</w:t>
            </w:r>
          </w:p>
        </w:tc>
        <w:tc>
          <w:tcPr>
            <w:tcW w:type="dxa" w:w="1440"/>
          </w:tcPr>
          <w:p>
            <w:r>
              <w:t>20 台</w:t>
            </w:r>
          </w:p>
        </w:tc>
        <w:tc>
          <w:tcPr>
            <w:tcW w:type="dxa" w:w="1440"/>
          </w:tcPr>
          <w:p>
            <w:r>
              <w:t>15 万</w:t>
            </w:r>
          </w:p>
        </w:tc>
        <w:tc>
          <w:tcPr>
            <w:tcW w:type="dxa" w:w="1440"/>
          </w:tcPr>
          <w:p>
            <w:r>
              <w:t>5-10 万</w:t>
            </w:r>
          </w:p>
        </w:tc>
        <w:tc>
          <w:tcPr>
            <w:tcW w:type="dxa" w:w="1440"/>
          </w:tcPr>
          <w:p>
            <w:r>
              <w:t>18-24 月</w:t>
            </w:r>
          </w:p>
        </w:tc>
      </w:tr>
      <w:tr>
        <w:tc>
          <w:tcPr>
            <w:tcW w:type="dxa" w:w="1440"/>
          </w:tcPr>
          <w:p>
            <w:r>
              <w:t>高配</w:t>
            </w:r>
          </w:p>
        </w:tc>
        <w:tc>
          <w:tcPr>
            <w:tcW w:type="dxa" w:w="1440"/>
          </w:tcPr>
          <w:p>
            <w:r>
              <w:t>200 万</w:t>
            </w:r>
          </w:p>
        </w:tc>
        <w:tc>
          <w:tcPr>
            <w:tcW w:type="dxa" w:w="1440"/>
          </w:tcPr>
          <w:p>
            <w:r>
              <w:t>40 台</w:t>
            </w:r>
          </w:p>
        </w:tc>
        <w:tc>
          <w:tcPr>
            <w:tcW w:type="dxa" w:w="1440"/>
          </w:tcPr>
          <w:p>
            <w:r>
              <w:t>30 万</w:t>
            </w:r>
          </w:p>
        </w:tc>
        <w:tc>
          <w:tcPr>
            <w:tcW w:type="dxa" w:w="1440"/>
          </w:tcPr>
          <w:p>
            <w:r>
              <w:t>10-20 万</w:t>
            </w:r>
          </w:p>
        </w:tc>
        <w:tc>
          <w:tcPr>
            <w:tcW w:type="dxa" w:w="1440"/>
          </w:tcPr>
          <w:p>
            <w:r>
              <w:t>20-26 月</w:t>
            </w:r>
          </w:p>
        </w:tc>
      </w:tr>
      <w:tr>
        <w:tc>
          <w:tcPr>
            <w:tcW w:type="dxa" w:w="1440"/>
          </w:tcPr>
          <w:p>
            <w:r>
              <w:t>顶配</w:t>
            </w:r>
          </w:p>
        </w:tc>
        <w:tc>
          <w:tcPr>
            <w:tcW w:type="dxa" w:w="1440"/>
          </w:tcPr>
          <w:p>
            <w:r>
              <w:t>500 万</w:t>
            </w:r>
          </w:p>
        </w:tc>
        <w:tc>
          <w:tcPr>
            <w:tcW w:type="dxa" w:w="1440"/>
          </w:tcPr>
          <w:p>
            <w:r>
              <w:t>100 台</w:t>
            </w:r>
          </w:p>
        </w:tc>
        <w:tc>
          <w:tcPr>
            <w:tcW w:type="dxa" w:w="1440"/>
          </w:tcPr>
          <w:p>
            <w:r>
              <w:t>75 万</w:t>
            </w:r>
          </w:p>
        </w:tc>
        <w:tc>
          <w:tcPr>
            <w:tcW w:type="dxa" w:w="1440"/>
          </w:tcPr>
          <w:p>
            <w:r>
              <w:t>20-40 万</w:t>
            </w:r>
          </w:p>
        </w:tc>
        <w:tc>
          <w:tcPr>
            <w:tcW w:type="dxa" w:w="1440"/>
          </w:tcPr>
          <w:p>
            <w:r>
              <w:t>24-30 月</w:t>
            </w:r>
          </w:p>
        </w:tc>
      </w:tr>
    </w:tbl>
    <w:p>
      <w:pPr>
        <w:pStyle w:val="Heading2"/>
      </w:pPr>
      <w:r>
        <w:t>1.4 三年目标</w:t>
      </w:r>
    </w:p>
    <w:p>
      <w:pPr>
        <w:pStyle w:val="ListBullet"/>
      </w:pPr>
      <w:r>
        <w:t>2026 年：完成 10 所高校部署，实现收入 1000 万元</w:t>
      </w:r>
    </w:p>
    <w:p>
      <w:pPr>
        <w:pStyle w:val="ListBullet"/>
      </w:pPr>
      <w:r>
        <w:t>2027 年：完成 50 所高校部署，实现收入 4250 万元（含订阅+AIGC）</w:t>
      </w:r>
    </w:p>
    <w:p>
      <w:pPr>
        <w:pStyle w:val="ListBullet"/>
      </w:pPr>
      <w:r>
        <w:t>2028 年：完成 100 所高校部署，实现收入 6200 万元（含订阅+AIGC）</w:t>
      </w:r>
    </w:p>
    <w:p>
      <w:r>
        <w:br w:type="page"/>
      </w:r>
    </w:p>
    <w:p>
      <w:pPr>
        <w:pStyle w:val="Heading1"/>
      </w:pPr>
      <w:r>
        <w:t>2. 独家资源优势（学习强国 + 龙标）</w:t>
      </w:r>
    </w:p>
    <w:p>
      <w:pPr>
        <w:pStyle w:val="Heading2"/>
      </w:pPr>
      <w:r>
        <w:t>2.1 中宣部学习强国领衔出品</w:t>
      </w:r>
    </w:p>
    <w:p>
      <w:r>
        <w:t>🔴 政治背书：中宣部主管的国家级学习平台，政治安全性 100% 保障，高校采购无政治风险</w:t>
      </w:r>
    </w:p>
    <w:p>
      <w:r>
        <w:t>🔴 品牌效应："学习强国"品牌认知度 95%+，高校认可度极高，无需额外教育成本</w:t>
      </w:r>
    </w:p>
    <w:p>
      <w:r>
        <w:t>🔴 采购合规：高校采购零风险，财务/资产处审批无障碍，无顾虑</w:t>
      </w:r>
    </w:p>
    <w:p>
      <w:r>
        <w:t>🔴 传播价值：学习强国平台全网传播，品牌曝光亿级，项目知名度快速提升</w:t>
      </w:r>
    </w:p>
    <w:p>
      <w:r>
        <w:t>🔴 排他性：学习强国出品内容具有唯一性，竞品无法获得同等背书</w:t>
      </w:r>
    </w:p>
    <w:p>
      <w:pPr>
        <w:pStyle w:val="Heading2"/>
      </w:pPr>
      <w:r>
        <w:t>2.2 国家电影局首个 VR"龙标"电影</w:t>
      </w:r>
    </w:p>
    <w:p>
      <w:r>
        <w:t>🎬 行业首创：全国首个 VR 内容获龙标，历史意义，里程碑事件，媒体关注度高</w:t>
      </w:r>
    </w:p>
    <w:p>
      <w:r>
        <w:t>🎬 审查通过：国家最高级别内容审查，政治安全 100% 保障，内容合规性无争议</w:t>
      </w:r>
    </w:p>
    <w:p>
      <w:r>
        <w:t>🎬 稀缺性：重大革命题材 VR 唯一龙标，排他性，竞品 100% 无法复制</w:t>
      </w:r>
    </w:p>
    <w:p>
      <w:r>
        <w:t>🎬 教育认可：龙标=教育内容合规认证，高校采购依据充分，教学应用无风险</w:t>
      </w:r>
    </w:p>
    <w:p>
      <w:r>
        <w:t>🎬 品牌溢价：龙标内容具有收藏价值和学术价值，提升项目整体档次</w:t>
      </w:r>
    </w:p>
    <w:p>
      <w:pPr>
        <w:pStyle w:val="Heading2"/>
      </w:pPr>
      <w:r>
        <w:t>2.3 竞品壁垒分析</w:t>
      </w:r>
    </w:p>
    <w:p>
      <w:r>
        <w:t>曼恒数字：技术强，但无学习强国 + 龙标背书，政治安全性存疑，高校采购需谨慎</w:t>
      </w:r>
    </w:p>
    <w:p>
      <w:r>
        <w:t>其他厂商：无官方背书，内容审查未通过，高校采购风险高，可能被叫停</w:t>
      </w:r>
    </w:p>
    <w:p>
      <w:r>
        <w:t>我们的优势：学习强国 + 龙标双重背书，100% 排他性，竞品无法复制，高校采购放心</w:t>
      </w:r>
    </w:p>
    <w:p>
      <w:pPr>
        <w:pStyle w:val="Heading2"/>
      </w:pPr>
      <w:r>
        <w:t>2.4 背书使用规范</w:t>
      </w:r>
    </w:p>
    <w:p>
      <w:r>
        <w:t>学习强国 Logo 使用：需获得官方书面授权，按规范使用</w:t>
      </w:r>
    </w:p>
    <w:p>
      <w:r>
        <w:t>龙标标识使用：按国家电影局规范使用，不得变形、变色</w:t>
      </w:r>
    </w:p>
    <w:p>
      <w:r>
        <w:t>宣传话术：统一使用"中宣部学习强国领衔出品"、"国家电影局首个 VR 龙标认证"</w:t>
      </w:r>
    </w:p>
    <w:p>
      <w:r>
        <w:br w:type="page"/>
      </w:r>
    </w:p>
    <w:p>
      <w:pPr>
        <w:pStyle w:val="Heading1"/>
      </w:pPr>
      <w:r>
        <w:t>3. 项目背景与政策风口</w:t>
      </w:r>
    </w:p>
    <w:p>
      <w:pPr>
        <w:pStyle w:val="Heading2"/>
      </w:pPr>
      <w:r>
        <w:t>3.1 思政教育现状与痛点</w:t>
      </w:r>
    </w:p>
    <w:p>
      <w:r>
        <w:t>传统思政教育存在教学方式单一、内容抽象难懂、实践环节薄弱、效果评估困难等问题。</w:t>
      </w:r>
    </w:p>
    <w:p>
      <w:pPr>
        <w:pStyle w:val="Heading2"/>
      </w:pPr>
      <w:r>
        <w:t>3.2 政策支持</w:t>
      </w:r>
    </w:p>
    <w:p>
      <w:pPr>
        <w:pStyle w:val="ListBullet"/>
      </w:pPr>
      <w:r>
        <w:t>《全面推进"大思政课"建设的工作方案》（教育部等十部门，2022 年）</w:t>
      </w:r>
    </w:p>
    <w:p>
      <w:pPr>
        <w:pStyle w:val="ListBullet"/>
      </w:pPr>
      <w:r>
        <w:t>《虚拟现实与行业应用融合发展行动计划（2022-2026 年）》（工信部等五部门）</w:t>
      </w:r>
    </w:p>
    <w:p>
      <w:pPr>
        <w:pStyle w:val="ListBullet"/>
      </w:pPr>
      <w:r>
        <w:t>《关于深化新时代学校思想政治理论课改革创新的若干意见》</w:t>
      </w:r>
    </w:p>
    <w:p>
      <w:r>
        <w:br w:type="page"/>
      </w:r>
    </w:p>
    <w:p>
      <w:pPr>
        <w:pStyle w:val="Heading1"/>
      </w:pPr>
      <w:r>
        <w:t>4. 桂林学院标杆案例</w:t>
      </w:r>
    </w:p>
    <w:p>
      <w:pPr>
        <w:pStyle w:val="Heading2"/>
      </w:pPr>
      <w:r>
        <w:t>4.1 项目概况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合作院校</w:t>
            </w:r>
          </w:p>
        </w:tc>
        <w:tc>
          <w:tcPr>
            <w:tcW w:type="dxa" w:w="4320"/>
          </w:tcPr>
          <w:p>
            <w:r>
              <w:t>桂林学院</w:t>
            </w:r>
          </w:p>
        </w:tc>
      </w:tr>
      <w:tr>
        <w:tc>
          <w:tcPr>
            <w:tcW w:type="dxa" w:w="4320"/>
          </w:tcPr>
          <w:p>
            <w:r>
              <w:t>签约时间</w:t>
            </w:r>
          </w:p>
        </w:tc>
        <w:tc>
          <w:tcPr>
            <w:tcW w:type="dxa" w:w="4320"/>
          </w:tcPr>
          <w:p>
            <w:r>
              <w:t>2025 年 9 月</w:t>
            </w:r>
          </w:p>
        </w:tc>
      </w:tr>
      <w:tr>
        <w:tc>
          <w:tcPr>
            <w:tcW w:type="dxa" w:w="4320"/>
          </w:tcPr>
          <w:p>
            <w:r>
              <w:t>正式运营</w:t>
            </w:r>
          </w:p>
        </w:tc>
        <w:tc>
          <w:tcPr>
            <w:tcW w:type="dxa" w:w="4320"/>
          </w:tcPr>
          <w:p>
            <w:r>
              <w:t>2025 年 12 月</w:t>
            </w:r>
          </w:p>
        </w:tc>
      </w:tr>
      <w:tr>
        <w:tc>
          <w:tcPr>
            <w:tcW w:type="dxa" w:w="4320"/>
          </w:tcPr>
          <w:p>
            <w:r>
              <w:t>投资金额</w:t>
            </w:r>
          </w:p>
        </w:tc>
        <w:tc>
          <w:tcPr>
            <w:tcW w:type="dxa" w:w="4320"/>
          </w:tcPr>
          <w:p>
            <w:r>
              <w:t>100 万元（设备销售）</w:t>
            </w:r>
          </w:p>
        </w:tc>
      </w:tr>
      <w:tr>
        <w:tc>
          <w:tcPr>
            <w:tcW w:type="dxa" w:w="4320"/>
          </w:tcPr>
          <w:p>
            <w:r>
              <w:t>设备规模</w:t>
            </w:r>
          </w:p>
        </w:tc>
        <w:tc>
          <w:tcPr>
            <w:tcW w:type="dxa" w:w="4320"/>
          </w:tcPr>
          <w:p>
            <w:r>
              <w:t>20 台 VR 一体机</w:t>
            </w:r>
          </w:p>
        </w:tc>
      </w:tr>
      <w:tr>
        <w:tc>
          <w:tcPr>
            <w:tcW w:type="dxa" w:w="4320"/>
          </w:tcPr>
          <w:p>
            <w:r>
              <w:t>场地面积</w:t>
            </w:r>
          </w:p>
        </w:tc>
        <w:tc>
          <w:tcPr>
            <w:tcW w:type="dxa" w:w="4320"/>
          </w:tcPr>
          <w:p>
            <w:r>
              <w:t>80 平方米 VR 实训室</w:t>
            </w:r>
          </w:p>
        </w:tc>
      </w:tr>
      <w:tr>
        <w:tc>
          <w:tcPr>
            <w:tcW w:type="dxa" w:w="4320"/>
          </w:tcPr>
          <w:p>
            <w:r>
              <w:t>服务师生</w:t>
            </w:r>
          </w:p>
        </w:tc>
        <w:tc>
          <w:tcPr>
            <w:tcW w:type="dxa" w:w="4320"/>
          </w:tcPr>
          <w:p>
            <w:r>
              <w:t>年均 3000+ 人次</w:t>
            </w:r>
          </w:p>
        </w:tc>
      </w:tr>
    </w:tbl>
    <w:p>
      <w:pPr>
        <w:pStyle w:val="Heading2"/>
      </w:pPr>
      <w:r>
        <w:t>4.2 商业模式</w:t>
      </w:r>
    </w:p>
    <w:p>
      <w:r>
        <w:t>首年：100 万元设备销售（硬件 + 软件 + 内容打包）</w:t>
        <w:br/>
        <w:t>第二年起：15 万元/年内容订阅 + 5-10 万元/年 AIGC 技术服务</w:t>
        <w:br/>
        <w:t>合同期限：3 年（含排他条款）</w:t>
      </w:r>
    </w:p>
    <w:p>
      <w:pPr>
        <w:pStyle w:val="Heading2"/>
      </w:pPr>
      <w:r>
        <w:t>4.3 教学效果</w:t>
      </w:r>
    </w:p>
    <w:p>
      <w:pPr>
        <w:pStyle w:val="ListBullet"/>
      </w:pPr>
      <w:r>
        <w:t>学习兴趣：65 分 → 92 分（+41.5%）</w:t>
      </w:r>
    </w:p>
    <w:p>
      <w:pPr>
        <w:pStyle w:val="ListBullet"/>
      </w:pPr>
      <w:r>
        <w:t>知识掌握：72 分 → 88 分（+22.2%）</w:t>
      </w:r>
    </w:p>
    <w:p>
      <w:pPr>
        <w:pStyle w:val="ListBullet"/>
      </w:pPr>
      <w:r>
        <w:t>课堂参与：58 分 → 94 分（+62.1%）</w:t>
      </w:r>
    </w:p>
    <w:p>
      <w:pPr>
        <w:pStyle w:val="ListBullet"/>
      </w:pPr>
      <w:r>
        <w:t>记忆留存：45% → 78%（+73.3%）</w:t>
      </w:r>
    </w:p>
    <w:p>
      <w:pPr>
        <w:pStyle w:val="ListBullet"/>
      </w:pPr>
      <w:r>
        <w:t>课程满意度：75 分 → 96 分（+28.0%）</w:t>
      </w:r>
    </w:p>
    <w:p>
      <w:r>
        <w:br w:type="page"/>
      </w:r>
    </w:p>
    <w:p>
      <w:pPr>
        <w:pStyle w:val="Heading1"/>
      </w:pPr>
      <w:r>
        <w:t>5. 三档合作方案</w:t>
      </w:r>
    </w:p>
    <w:p>
      <w:pPr>
        <w:pStyle w:val="Heading2"/>
      </w:pPr>
      <w:r>
        <w:t>5.1 标配方案（100 万元）</w:t>
      </w:r>
    </w:p>
    <w:p>
      <w:r>
        <w:t>适用对象：首次尝试 VR 思政教育的院校、普通本科院校</w:t>
      </w:r>
    </w:p>
    <w:p>
      <w:r>
        <w:t>配置：20 台 VR 一体机、12 门课程（学习强国 + 龙标认证内容）、80㎡VR 实训室、2 天师资培训</w:t>
      </w:r>
    </w:p>
    <w:p>
      <w:r>
        <w:t>交付周期：合同签订后 30 天</w:t>
      </w:r>
    </w:p>
    <w:p>
      <w:r>
        <w:t>订阅服务：第二年起 15 万元/年（内容更新 + 运维）</w:t>
      </w:r>
    </w:p>
    <w:p>
      <w:r>
        <w:t>AIGC 服务：第二年起 5-10 万元/年（校本课程 AI 生成等）</w:t>
      </w:r>
    </w:p>
    <w:p>
      <w:pPr>
        <w:pStyle w:val="Heading2"/>
      </w:pPr>
      <w:r>
        <w:t>5.2 高配方案（200 万元）</w:t>
      </w:r>
    </w:p>
    <w:p>
      <w:r>
        <w:t>适用对象：重点马院、省级思政示范院校</w:t>
      </w:r>
    </w:p>
    <w:p>
      <w:r>
        <w:t>配置：40 台 VR 一体机、20+2 定制课程、150㎡VR 实训中心</w:t>
      </w:r>
    </w:p>
    <w:p>
      <w:r>
        <w:t>交付周期：合同签订后 45 天</w:t>
      </w:r>
    </w:p>
    <w:p>
      <w:r>
        <w:t>订阅服务：第二年起 30 万元/年</w:t>
      </w:r>
    </w:p>
    <w:p>
      <w:r>
        <w:t>AIGC 服务：第二年起 10-20 万元/年</w:t>
      </w:r>
    </w:p>
    <w:p>
      <w:pPr>
        <w:pStyle w:val="Heading2"/>
      </w:pPr>
      <w:r>
        <w:t>5.3 顶配方案（500 万元）</w:t>
      </w:r>
    </w:p>
    <w:p>
      <w:r>
        <w:t>适用对象：双一流高校、省级思政教育中心</w:t>
      </w:r>
    </w:p>
    <w:p>
      <w:r>
        <w:t>配置：100 台 VR 一体机、30+5 定制课程、300㎡VR 思政中心</w:t>
      </w:r>
    </w:p>
    <w:p>
      <w:r>
        <w:t>交付周期：合同签订后 60 天</w:t>
      </w:r>
    </w:p>
    <w:p>
      <w:r>
        <w:t>订阅服务：第二年起 75 万元/年</w:t>
      </w:r>
    </w:p>
    <w:p>
      <w:r>
        <w:t>AIGC 服务：第二年起 20-40 万元/年</w:t>
      </w:r>
    </w:p>
    <w:p>
      <w:pPr>
        <w:pStyle w:val="Heading2"/>
      </w:pPr>
      <w:r>
        <w:t>5.4 排他性条款</w:t>
      </w:r>
    </w:p>
    <w:p>
      <w:r>
        <w:t>合同期限：3 年</w:t>
        <w:br/>
        <w:t>排他范围：合作院校所在省份同类型 VR 思政产品独家合作</w:t>
        <w:br/>
        <w:t>续约优惠：连续订阅 3 年，第 4 年起 8 折优惠</w:t>
      </w:r>
    </w:p>
    <w:p>
      <w:r>
        <w:br w:type="page"/>
      </w:r>
    </w:p>
    <w:p>
      <w:pPr>
        <w:pStyle w:val="Heading1"/>
      </w:pPr>
      <w:r>
        <w:t>6. 课程体系与教材对标</w:t>
      </w:r>
    </w:p>
    <w:p>
      <w:pPr>
        <w:pStyle w:val="Heading2"/>
      </w:pPr>
      <w:r>
        <w:t>6.1 课程模块设计</w:t>
      </w:r>
    </w:p>
    <w:p>
      <w:pPr>
        <w:pStyle w:val="ListBullet"/>
      </w:pPr>
      <w:r>
        <w:t>党史教育模块：《长征路上的抉择》《遵义会议》《开国大典》等（学习强国 + 龙标认证）</w:t>
      </w:r>
    </w:p>
    <w:p>
      <w:pPr>
        <w:pStyle w:val="ListBullet"/>
      </w:pPr>
      <w:r>
        <w:t>国情教育模块：《脱贫攻坚伟大成就》《大国重器》等</w:t>
      </w:r>
    </w:p>
    <w:p>
      <w:pPr>
        <w:pStyle w:val="ListBullet"/>
      </w:pPr>
      <w:r>
        <w:t>红色文化模块：《井冈山精神》《延安岁月》《西柏坡赶考》等</w:t>
      </w:r>
    </w:p>
    <w:p>
      <w:pPr>
        <w:pStyle w:val="ListBullet"/>
      </w:pPr>
      <w:r>
        <w:t>价值观教育模块：《榜样的力量》《青春告白祖国》等</w:t>
      </w:r>
    </w:p>
    <w:p>
      <w:pPr>
        <w:pStyle w:val="ListBullet"/>
      </w:pPr>
      <w:r>
        <w:t>校史教育模块：《学校发展史》（可定制）</w:t>
      </w:r>
    </w:p>
    <w:p>
      <w:pPr>
        <w:pStyle w:val="ListBullet"/>
      </w:pPr>
      <w:r>
        <w:t>实践实训模块：《思政微课演练》《演讲比赛模拟》等</w:t>
      </w:r>
    </w:p>
    <w:p>
      <w:pPr>
        <w:pStyle w:val="Heading2"/>
      </w:pPr>
      <w:r>
        <w:t>6.2 与《中国近代史纲要》对标</w:t>
      </w:r>
    </w:p>
    <w:p>
      <w:r>
        <w:t>所有 VR 课程内容与《中国近代史纲要（2023 版）》教材章节精准对应，确保教学合规性和采购依据。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VR 课程</w:t>
            </w:r>
          </w:p>
        </w:tc>
        <w:tc>
          <w:tcPr>
            <w:tcW w:type="dxa" w:w="2880"/>
          </w:tcPr>
          <w:p>
            <w:r>
              <w:t>对应教材章节</w:t>
            </w:r>
          </w:p>
        </w:tc>
        <w:tc>
          <w:tcPr>
            <w:tcW w:type="dxa" w:w="2880"/>
          </w:tcPr>
          <w:p>
            <w:r>
              <w:t>教材页码</w:t>
            </w:r>
          </w:p>
        </w:tc>
      </w:tr>
      <w:tr>
        <w:tc>
          <w:tcPr>
            <w:tcW w:type="dxa" w:w="2880"/>
          </w:tcPr>
          <w:p>
            <w:r>
              <w:t>《长征路上的抉择》</w:t>
            </w:r>
          </w:p>
        </w:tc>
        <w:tc>
          <w:tcPr>
            <w:tcW w:type="dxa" w:w="2880"/>
          </w:tcPr>
          <w:p>
            <w:r>
              <w:t>第五章 中国革命的新道路</w:t>
            </w:r>
          </w:p>
        </w:tc>
        <w:tc>
          <w:tcPr>
            <w:tcW w:type="dxa" w:w="2880"/>
          </w:tcPr>
          <w:p>
            <w:r>
              <w:t>P134-135</w:t>
            </w:r>
          </w:p>
        </w:tc>
      </w:tr>
      <w:tr>
        <w:tc>
          <w:tcPr>
            <w:tcW w:type="dxa" w:w="2880"/>
          </w:tcPr>
          <w:p>
            <w:r>
              <w:t>《遵义会议》</w:t>
            </w:r>
          </w:p>
        </w:tc>
        <w:tc>
          <w:tcPr>
            <w:tcW w:type="dxa" w:w="2880"/>
          </w:tcPr>
          <w:p>
            <w:r>
              <w:t>第五章 中国革命的新道路</w:t>
            </w:r>
          </w:p>
        </w:tc>
        <w:tc>
          <w:tcPr>
            <w:tcW w:type="dxa" w:w="2880"/>
          </w:tcPr>
          <w:p>
            <w:r>
              <w:t>P134-135</w:t>
            </w:r>
          </w:p>
        </w:tc>
      </w:tr>
      <w:tr>
        <w:tc>
          <w:tcPr>
            <w:tcW w:type="dxa" w:w="2880"/>
          </w:tcPr>
          <w:p>
            <w:r>
              <w:t>《开国大典》</w:t>
            </w:r>
          </w:p>
        </w:tc>
        <w:tc>
          <w:tcPr>
            <w:tcW w:type="dxa" w:w="2880"/>
          </w:tcPr>
          <w:p>
            <w:r>
              <w:t>第七章 为新中国而奋斗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《改革开放春潮》</w:t>
            </w:r>
          </w:p>
        </w:tc>
        <w:tc>
          <w:tcPr>
            <w:tcW w:type="dxa" w:w="2880"/>
          </w:tcPr>
          <w:p>
            <w:r>
              <w:t>第八章 社会主义建设在探索中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  <w:tr>
        <w:tc>
          <w:tcPr>
            <w:tcW w:type="dxa" w:w="2880"/>
          </w:tcPr>
          <w:p>
            <w:r>
              <w:t>《脱贫攻坚》</w:t>
            </w:r>
          </w:p>
        </w:tc>
        <w:tc>
          <w:tcPr>
            <w:tcW w:type="dxa" w:w="2880"/>
          </w:tcPr>
          <w:p>
            <w:r>
              <w:t>第十一章 中国特色社会主义进入新时代</w:t>
            </w:r>
          </w:p>
        </w:tc>
        <w:tc>
          <w:tcPr>
            <w:tcW w:type="dxa" w:w="2880"/>
          </w:tcPr>
          <w:p>
            <w:r>
              <w:t>待确认</w:t>
            </w:r>
          </w:p>
        </w:tc>
      </w:tr>
    </w:tbl>
    <w:p>
      <w:r>
        <w:br w:type="page"/>
      </w:r>
    </w:p>
    <w:p>
      <w:pPr>
        <w:pStyle w:val="Heading1"/>
      </w:pPr>
      <w:r>
        <w:t>7. 四阶教学闭环设计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教学内容</w:t>
            </w:r>
          </w:p>
        </w:tc>
        <w:tc>
          <w:tcPr>
            <w:tcW w:type="dxa" w:w="2880"/>
          </w:tcPr>
          <w:p>
            <w:r>
              <w:t>技术支撑</w:t>
            </w:r>
          </w:p>
        </w:tc>
      </w:tr>
      <w:tr>
        <w:tc>
          <w:tcPr>
            <w:tcW w:type="dxa" w:w="2880"/>
          </w:tcPr>
          <w:p>
            <w:r>
              <w:t>课前导学</w:t>
            </w:r>
          </w:p>
        </w:tc>
        <w:tc>
          <w:tcPr>
            <w:tcW w:type="dxa" w:w="2880"/>
          </w:tcPr>
          <w:p>
            <w:r>
              <w:t>微课视频 + 任务卡</w:t>
            </w:r>
          </w:p>
        </w:tc>
        <w:tc>
          <w:tcPr>
            <w:tcW w:type="dxa" w:w="2880"/>
          </w:tcPr>
          <w:p>
            <w:r>
              <w:t>云平台推送预习资料</w:t>
            </w:r>
          </w:p>
        </w:tc>
      </w:tr>
      <w:tr>
        <w:tc>
          <w:tcPr>
            <w:tcW w:type="dxa" w:w="2880"/>
          </w:tcPr>
          <w:p>
            <w:r>
              <w:t>课中沉浸</w:t>
            </w:r>
          </w:p>
        </w:tc>
        <w:tc>
          <w:tcPr>
            <w:tcW w:type="dxa" w:w="2880"/>
          </w:tcPr>
          <w:p>
            <w:r>
              <w:t>20 人分组 VR 体验任务</w:t>
            </w:r>
          </w:p>
        </w:tc>
        <w:tc>
          <w:tcPr>
            <w:tcW w:type="dxa" w:w="2880"/>
          </w:tcPr>
          <w:p>
            <w:r>
              <w:t>全感协同交互 + 数据采集</w:t>
            </w:r>
          </w:p>
        </w:tc>
      </w:tr>
      <w:tr>
        <w:tc>
          <w:tcPr>
            <w:tcW w:type="dxa" w:w="2880"/>
          </w:tcPr>
          <w:p>
            <w:r>
              <w:t>课后复盘</w:t>
            </w:r>
          </w:p>
        </w:tc>
        <w:tc>
          <w:tcPr>
            <w:tcW w:type="dxa" w:w="2880"/>
          </w:tcPr>
          <w:p>
            <w:r>
              <w:t>AI 生成决策力报告</w:t>
            </w:r>
          </w:p>
        </w:tc>
        <w:tc>
          <w:tcPr>
            <w:tcW w:type="dxa" w:w="2880"/>
          </w:tcPr>
          <w:p>
            <w:r>
              <w:t>数据可视化平台</w:t>
            </w:r>
          </w:p>
        </w:tc>
      </w:tr>
      <w:tr>
        <w:tc>
          <w:tcPr>
            <w:tcW w:type="dxa" w:w="2880"/>
          </w:tcPr>
          <w:p>
            <w:r>
              <w:t>社会实践</w:t>
            </w:r>
          </w:p>
        </w:tc>
        <w:tc>
          <w:tcPr>
            <w:tcW w:type="dxa" w:w="2880"/>
          </w:tcPr>
          <w:p>
            <w:r>
              <w:t>VR 勋章兑换研学资格</w:t>
            </w:r>
          </w:p>
        </w:tc>
        <w:tc>
          <w:tcPr>
            <w:tcW w:type="dxa" w:w="2880"/>
          </w:tcPr>
          <w:p>
            <w:r>
              <w:t>数字 - 实景联名认证</w:t>
            </w:r>
          </w:p>
        </w:tc>
      </w:tr>
    </w:tbl>
    <w:p>
      <w:r>
        <w:br w:type="page"/>
      </w:r>
    </w:p>
    <w:p>
      <w:pPr>
        <w:pStyle w:val="Heading1"/>
      </w:pPr>
      <w:r>
        <w:t>8. AIGC 技术服务</w:t>
      </w:r>
    </w:p>
    <w:p>
      <w:pPr>
        <w:pStyle w:val="Heading2"/>
      </w:pPr>
      <w:r>
        <w:t>8.1 服务清单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服务项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  <w:tc>
          <w:tcPr>
            <w:tcW w:type="dxa" w:w="2160"/>
          </w:tcPr>
          <w:p>
            <w:r>
              <w:t>定价</w:t>
            </w:r>
          </w:p>
        </w:tc>
        <w:tc>
          <w:tcPr>
            <w:tcW w:type="dxa" w:w="2160"/>
          </w:tcPr>
          <w:p>
            <w:r>
              <w:t>毛利</w:t>
            </w:r>
          </w:p>
        </w:tc>
      </w:tr>
      <w:tr>
        <w:tc>
          <w:tcPr>
            <w:tcW w:type="dxa" w:w="2160"/>
          </w:tcPr>
          <w:p>
            <w:r>
              <w:t>校本课程 AI 生成</w:t>
            </w:r>
          </w:p>
        </w:tc>
        <w:tc>
          <w:tcPr>
            <w:tcW w:type="dxa" w:w="2160"/>
          </w:tcPr>
          <w:p>
            <w:r>
              <w:t>基于学校历史/地方红色资源生成定制课程</w:t>
            </w:r>
          </w:p>
        </w:tc>
        <w:tc>
          <w:tcPr>
            <w:tcW w:type="dxa" w:w="2160"/>
          </w:tcPr>
          <w:p>
            <w:r>
              <w:t>5-10 万/门</w:t>
            </w:r>
          </w:p>
        </w:tc>
        <w:tc>
          <w:tcPr>
            <w:tcW w:type="dxa" w:w="2160"/>
          </w:tcPr>
          <w:p>
            <w:r>
              <w:t>85%+</w:t>
            </w:r>
          </w:p>
        </w:tc>
      </w:tr>
      <w:tr>
        <w:tc>
          <w:tcPr>
            <w:tcW w:type="dxa" w:w="2160"/>
          </w:tcPr>
          <w:p>
            <w:r>
              <w:t>本地红色资源数字化</w:t>
            </w:r>
          </w:p>
        </w:tc>
        <w:tc>
          <w:tcPr>
            <w:tcW w:type="dxa" w:w="2160"/>
          </w:tcPr>
          <w:p>
            <w:r>
              <w:t>扫描/建模本地红色遗址、纪念馆</w:t>
            </w:r>
          </w:p>
        </w:tc>
        <w:tc>
          <w:tcPr>
            <w:tcW w:type="dxa" w:w="2160"/>
          </w:tcPr>
          <w:p>
            <w:r>
              <w:t>10-30 万/项目</w:t>
            </w:r>
          </w:p>
        </w:tc>
        <w:tc>
          <w:tcPr>
            <w:tcW w:type="dxa" w:w="2160"/>
          </w:tcPr>
          <w:p>
            <w:r>
              <w:t>80%+</w:t>
            </w:r>
          </w:p>
        </w:tc>
      </w:tr>
      <w:tr>
        <w:tc>
          <w:tcPr>
            <w:tcW w:type="dxa" w:w="2160"/>
          </w:tcPr>
          <w:p>
            <w:r>
              <w:t>AI 教学助手</w:t>
            </w:r>
          </w:p>
        </w:tc>
        <w:tc>
          <w:tcPr>
            <w:tcW w:type="dxa" w:w="2160"/>
          </w:tcPr>
          <w:p>
            <w:r>
              <w:t>自动生成教案、课件、测试题</w:t>
            </w:r>
          </w:p>
        </w:tc>
        <w:tc>
          <w:tcPr>
            <w:tcW w:type="dxa" w:w="2160"/>
          </w:tcPr>
          <w:p>
            <w:r>
              <w:t>3-5 万/年</w:t>
            </w:r>
          </w:p>
        </w:tc>
        <w:tc>
          <w:tcPr>
            <w:tcW w:type="dxa" w:w="2160"/>
          </w:tcPr>
          <w:p>
            <w:r>
              <w:t>90%+</w:t>
            </w:r>
          </w:p>
        </w:tc>
      </w:tr>
      <w:tr>
        <w:tc>
          <w:tcPr>
            <w:tcW w:type="dxa" w:w="2160"/>
          </w:tcPr>
          <w:p>
            <w:r>
              <w:t>学习报告 AI 生成</w:t>
            </w:r>
          </w:p>
        </w:tc>
        <w:tc>
          <w:tcPr>
            <w:tcW w:type="dxa" w:w="2160"/>
          </w:tcPr>
          <w:p>
            <w:r>
              <w:t>自动分析学生数据，生成个性化报告</w:t>
            </w:r>
          </w:p>
        </w:tc>
        <w:tc>
          <w:tcPr>
            <w:tcW w:type="dxa" w:w="2160"/>
          </w:tcPr>
          <w:p>
            <w:r>
              <w:t>包含在订阅</w:t>
            </w:r>
          </w:p>
        </w:tc>
        <w:tc>
          <w:tcPr>
            <w:tcW w:type="dxa" w:w="2160"/>
          </w:tcPr>
          <w:p>
            <w:r>
              <w:t>95%+</w:t>
            </w:r>
          </w:p>
        </w:tc>
      </w:tr>
      <w:tr>
        <w:tc>
          <w:tcPr>
            <w:tcW w:type="dxa" w:w="2160"/>
          </w:tcPr>
          <w:p>
            <w:r>
              <w:t>AI 虚拟讲解员</w:t>
            </w:r>
          </w:p>
        </w:tc>
        <w:tc>
          <w:tcPr>
            <w:tcW w:type="dxa" w:w="2160"/>
          </w:tcPr>
          <w:p>
            <w:r>
              <w:t>虚拟历史人物对话系统</w:t>
            </w:r>
          </w:p>
        </w:tc>
        <w:tc>
          <w:tcPr>
            <w:tcW w:type="dxa" w:w="2160"/>
          </w:tcPr>
          <w:p>
            <w:r>
              <w:t>5-8 万/年</w:t>
            </w:r>
          </w:p>
        </w:tc>
        <w:tc>
          <w:tcPr>
            <w:tcW w:type="dxa" w:w="2160"/>
          </w:tcPr>
          <w:p>
            <w:r>
              <w:t>85%+</w:t>
            </w:r>
          </w:p>
        </w:tc>
      </w:tr>
      <w:tr>
        <w:tc>
          <w:tcPr>
            <w:tcW w:type="dxa" w:w="2160"/>
          </w:tcPr>
          <w:p>
            <w:r>
              <w:t>内容智能推荐</w:t>
            </w:r>
          </w:p>
        </w:tc>
        <w:tc>
          <w:tcPr>
            <w:tcW w:type="dxa" w:w="2160"/>
          </w:tcPr>
          <w:p>
            <w:r>
              <w:t>个性化课程路径推荐</w:t>
            </w:r>
          </w:p>
        </w:tc>
        <w:tc>
          <w:tcPr>
            <w:tcW w:type="dxa" w:w="2160"/>
          </w:tcPr>
          <w:p>
            <w:r>
              <w:t>包含在订阅</w:t>
            </w:r>
          </w:p>
        </w:tc>
        <w:tc>
          <w:tcPr>
            <w:tcW w:type="dxa" w:w="2160"/>
          </w:tcPr>
          <w:p>
            <w:r>
              <w:t>95%+</w:t>
            </w:r>
          </w:p>
        </w:tc>
      </w:tr>
    </w:tbl>
    <w:p>
      <w:pPr>
        <w:pStyle w:val="Heading2"/>
      </w:pPr>
      <w:r>
        <w:t>8.2 AIGC 渗透率预测</w:t>
      </w:r>
    </w:p>
    <w:p>
      <w:r>
        <w:t>第二年：50% 客户采购 AIGC 增值服务</w:t>
        <w:br/>
        <w:t>第三年：70% 客户采购 AIGC 增值服务</w:t>
        <w:br/>
        <w:t>续约客户：90% 以上续订 AIGC 服务</w:t>
      </w:r>
    </w:p>
    <w:p>
      <w:r>
        <w:br w:type="page"/>
      </w:r>
    </w:p>
    <w:p>
      <w:pPr>
        <w:pStyle w:val="Heading1"/>
      </w:pPr>
      <w:r>
        <w:t>9. 财务测算与投资回报</w:t>
      </w:r>
    </w:p>
    <w:p>
      <w:pPr>
        <w:pStyle w:val="Heading2"/>
      </w:pPr>
      <w:r>
        <w:t>9.1 三年收入预测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年份</w:t>
            </w:r>
          </w:p>
        </w:tc>
        <w:tc>
          <w:tcPr>
            <w:tcW w:type="dxa" w:w="1440"/>
          </w:tcPr>
          <w:p>
            <w:r>
              <w:t>新增院校</w:t>
            </w:r>
          </w:p>
        </w:tc>
        <w:tc>
          <w:tcPr>
            <w:tcW w:type="dxa" w:w="1440"/>
          </w:tcPr>
          <w:p>
            <w:r>
              <w:t>设备销售</w:t>
            </w:r>
          </w:p>
        </w:tc>
        <w:tc>
          <w:tcPr>
            <w:tcW w:type="dxa" w:w="1440"/>
          </w:tcPr>
          <w:p>
            <w:r>
              <w:t>订阅收入</w:t>
            </w:r>
          </w:p>
        </w:tc>
        <w:tc>
          <w:tcPr>
            <w:tcW w:type="dxa" w:w="1440"/>
          </w:tcPr>
          <w:p>
            <w:r>
              <w:t>AIGC 收入</w:t>
            </w:r>
          </w:p>
        </w:tc>
        <w:tc>
          <w:tcPr>
            <w:tcW w:type="dxa" w:w="1440"/>
          </w:tcPr>
          <w:p>
            <w:r>
              <w:t>总收入</w:t>
            </w:r>
          </w:p>
        </w:tc>
      </w:tr>
      <w:tr>
        <w:tc>
          <w:tcPr>
            <w:tcW w:type="dxa" w:w="1440"/>
          </w:tcPr>
          <w:p>
            <w:r>
              <w:t>2026</w:t>
            </w:r>
          </w:p>
        </w:tc>
        <w:tc>
          <w:tcPr>
            <w:tcW w:type="dxa" w:w="1440"/>
          </w:tcPr>
          <w:p>
            <w:r>
              <w:t>10 所</w:t>
            </w:r>
          </w:p>
        </w:tc>
        <w:tc>
          <w:tcPr>
            <w:tcW w:type="dxa" w:w="1440"/>
          </w:tcPr>
          <w:p>
            <w:r>
              <w:t>1000 万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1000 万</w:t>
            </w:r>
          </w:p>
        </w:tc>
      </w:tr>
      <w:tr>
        <w:tc>
          <w:tcPr>
            <w:tcW w:type="dxa" w:w="1440"/>
          </w:tcPr>
          <w:p>
            <w:r>
              <w:t>2027</w:t>
            </w:r>
          </w:p>
        </w:tc>
        <w:tc>
          <w:tcPr>
            <w:tcW w:type="dxa" w:w="1440"/>
          </w:tcPr>
          <w:p>
            <w:r>
              <w:t>40 所</w:t>
            </w:r>
          </w:p>
        </w:tc>
        <w:tc>
          <w:tcPr>
            <w:tcW w:type="dxa" w:w="1440"/>
          </w:tcPr>
          <w:p>
            <w:r>
              <w:t>4000 万</w:t>
            </w:r>
          </w:p>
        </w:tc>
        <w:tc>
          <w:tcPr>
            <w:tcW w:type="dxa" w:w="1440"/>
          </w:tcPr>
          <w:p>
            <w:r>
              <w:t>150 万</w:t>
            </w:r>
          </w:p>
        </w:tc>
        <w:tc>
          <w:tcPr>
            <w:tcW w:type="dxa" w:w="1440"/>
          </w:tcPr>
          <w:p>
            <w:r>
              <w:t>100 万</w:t>
            </w:r>
          </w:p>
        </w:tc>
        <w:tc>
          <w:tcPr>
            <w:tcW w:type="dxa" w:w="1440"/>
          </w:tcPr>
          <w:p>
            <w:r>
              <w:t>4250 万</w:t>
            </w:r>
          </w:p>
        </w:tc>
      </w:tr>
      <w:tr>
        <w:tc>
          <w:tcPr>
            <w:tcW w:type="dxa" w:w="1440"/>
          </w:tcPr>
          <w:p>
            <w:r>
              <w:t>2028</w:t>
            </w:r>
          </w:p>
        </w:tc>
        <w:tc>
          <w:tcPr>
            <w:tcW w:type="dxa" w:w="1440"/>
          </w:tcPr>
          <w:p>
            <w:r>
              <w:t>50 所</w:t>
            </w:r>
          </w:p>
        </w:tc>
        <w:tc>
          <w:tcPr>
            <w:tcW w:type="dxa" w:w="1440"/>
          </w:tcPr>
          <w:p>
            <w:r>
              <w:t>5000 万</w:t>
            </w:r>
          </w:p>
        </w:tc>
        <w:tc>
          <w:tcPr>
            <w:tcW w:type="dxa" w:w="1440"/>
          </w:tcPr>
          <w:p>
            <w:r>
              <w:t>750 万</w:t>
            </w:r>
          </w:p>
        </w:tc>
        <w:tc>
          <w:tcPr>
            <w:tcW w:type="dxa" w:w="1440"/>
          </w:tcPr>
          <w:p>
            <w:r>
              <w:t>450 万</w:t>
            </w:r>
          </w:p>
        </w:tc>
        <w:tc>
          <w:tcPr>
            <w:tcW w:type="dxa" w:w="1440"/>
          </w:tcPr>
          <w:p>
            <w:r>
              <w:t>6200 万</w:t>
            </w:r>
          </w:p>
        </w:tc>
      </w:tr>
    </w:tbl>
    <w:p>
      <w:r>
        <w:br w:type="page"/>
      </w:r>
    </w:p>
    <w:p>
      <w:pPr>
        <w:pStyle w:val="Heading1"/>
      </w:pPr>
      <w:r>
        <w:t>10. 百校复制路线图</w:t>
      </w:r>
    </w:p>
    <w:p>
      <w:pPr>
        <w:pStyle w:val="Heading2"/>
      </w:pPr>
      <w:r>
        <w:t>10.1 总体目标</w:t>
      </w:r>
    </w:p>
    <w:p>
      <w:r>
        <w:t>3 年 100 校，打造全国高校思政 VR 教育第一品牌</w:t>
      </w:r>
    </w:p>
    <w:p>
      <w:pPr>
        <w:pStyle w:val="Heading2"/>
      </w:pPr>
      <w:r>
        <w:t>10.2 阶段规划</w:t>
      </w:r>
    </w:p>
    <w:p>
      <w:pPr>
        <w:pStyle w:val="ListBullet"/>
      </w:pPr>
      <w:r>
        <w:t>第一阶段（2026 Q2-Q4）：完成 10 所高校部署，收入 1000 万元</w:t>
      </w:r>
    </w:p>
    <w:p>
      <w:pPr>
        <w:pStyle w:val="ListBullet"/>
      </w:pPr>
      <w:r>
        <w:t>第二阶段（2027 全年）：完成 50 所高校部署，收入 4250 万元</w:t>
      </w:r>
    </w:p>
    <w:p>
      <w:pPr>
        <w:pStyle w:val="ListBullet"/>
      </w:pPr>
      <w:r>
        <w:t>第三阶段（2028 全年）：完成 100 所高校部署，收入 6200 万元</w:t>
      </w:r>
    </w:p>
    <w:p>
      <w:r>
        <w:br w:type="page"/>
      </w:r>
    </w:p>
    <w:p>
      <w:pPr>
        <w:pStyle w:val="Heading1"/>
      </w:pPr>
      <w:r>
        <w:t>11. 竞品分析与差异化</w:t>
      </w:r>
    </w:p>
    <w:p>
      <w:pPr>
        <w:pStyle w:val="Heading2"/>
      </w:pPr>
      <w:r>
        <w:t>11.1 竞品对比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曼恒（高端）</w:t>
            </w:r>
          </w:p>
        </w:tc>
        <w:tc>
          <w:tcPr>
            <w:tcW w:type="dxa" w:w="2160"/>
          </w:tcPr>
          <w:p>
            <w:r>
              <w:t>其他厂商</w:t>
            </w:r>
          </w:p>
        </w:tc>
        <w:tc>
          <w:tcPr>
            <w:tcW w:type="dxa" w:w="2160"/>
          </w:tcPr>
          <w:p>
            <w:r>
              <w:t>我们（轻资产）</w:t>
            </w:r>
          </w:p>
        </w:tc>
      </w:tr>
      <w:tr>
        <w:tc>
          <w:tcPr>
            <w:tcW w:type="dxa" w:w="2160"/>
          </w:tcPr>
          <w:p>
            <w:r>
              <w:t>官方背书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✅ 学习强国 + 龙标双重背书</w:t>
            </w:r>
          </w:p>
        </w:tc>
      </w:tr>
      <w:tr>
        <w:tc>
          <w:tcPr>
            <w:tcW w:type="dxa" w:w="2160"/>
          </w:tcPr>
          <w:p>
            <w:r>
              <w:t>内容审查</w:t>
            </w:r>
          </w:p>
        </w:tc>
        <w:tc>
          <w:tcPr>
            <w:tcW w:type="dxa" w:w="2160"/>
          </w:tcPr>
          <w:p>
            <w:r>
              <w:t>未通过龙标</w:t>
            </w:r>
          </w:p>
        </w:tc>
        <w:tc>
          <w:tcPr>
            <w:tcW w:type="dxa" w:w="2160"/>
          </w:tcPr>
          <w:p>
            <w:r>
              <w:t>未通过</w:t>
            </w:r>
          </w:p>
        </w:tc>
        <w:tc>
          <w:tcPr>
            <w:tcW w:type="dxa" w:w="2160"/>
          </w:tcPr>
          <w:p>
            <w:r>
              <w:t>✅ 国家电影局龙标认证</w:t>
            </w:r>
          </w:p>
        </w:tc>
      </w:tr>
      <w:tr>
        <w:tc>
          <w:tcPr>
            <w:tcW w:type="dxa" w:w="2160"/>
          </w:tcPr>
          <w:p>
            <w:r>
              <w:t>政治安全</w:t>
            </w:r>
          </w:p>
        </w:tc>
        <w:tc>
          <w:tcPr>
            <w:tcW w:type="dxa" w:w="2160"/>
          </w:tcPr>
          <w:p>
            <w:r>
              <w:t>存疑</w:t>
            </w:r>
          </w:p>
        </w:tc>
        <w:tc>
          <w:tcPr>
            <w:tcW w:type="dxa" w:w="2160"/>
          </w:tcPr>
          <w:p>
            <w:r>
              <w:t>高风险</w:t>
            </w:r>
          </w:p>
        </w:tc>
        <w:tc>
          <w:tcPr>
            <w:tcW w:type="dxa" w:w="2160"/>
          </w:tcPr>
          <w:p>
            <w:r>
              <w:t>✅ 100% 安全保障</w:t>
            </w:r>
          </w:p>
        </w:tc>
      </w:tr>
      <w:tr>
        <w:tc>
          <w:tcPr>
            <w:tcW w:type="dxa" w:w="2160"/>
          </w:tcPr>
          <w:p>
            <w:r>
              <w:t>教材对标</w:t>
            </w:r>
          </w:p>
        </w:tc>
        <w:tc>
          <w:tcPr>
            <w:tcW w:type="dxa" w:w="2160"/>
          </w:tcPr>
          <w:p>
            <w:r>
              <w:t>一般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✅ 深度绑定《纲要》</w:t>
            </w:r>
          </w:p>
        </w:tc>
      </w:tr>
      <w:tr>
        <w:tc>
          <w:tcPr>
            <w:tcW w:type="dxa" w:w="2160"/>
          </w:tcPr>
          <w:p>
            <w:r>
              <w:t>AIGC 能力</w:t>
            </w:r>
          </w:p>
        </w:tc>
        <w:tc>
          <w:tcPr>
            <w:tcW w:type="dxa" w:w="2160"/>
          </w:tcPr>
          <w:p>
            <w:r>
              <w:t>基础 AI 对话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✅ 校本课程 AI 生成</w:t>
            </w:r>
          </w:p>
        </w:tc>
      </w:tr>
      <w:tr>
        <w:tc>
          <w:tcPr>
            <w:tcW w:type="dxa" w:w="2160"/>
          </w:tcPr>
          <w:p>
            <w:r>
              <w:t>投资门槛</w:t>
            </w:r>
          </w:p>
        </w:tc>
        <w:tc>
          <w:tcPr>
            <w:tcW w:type="dxa" w:w="2160"/>
          </w:tcPr>
          <w:p>
            <w:r>
              <w:t>300 万+</w:t>
            </w:r>
          </w:p>
        </w:tc>
        <w:tc>
          <w:tcPr>
            <w:tcW w:type="dxa" w:w="2160"/>
          </w:tcPr>
          <w:p>
            <w:r>
              <w:t>50-100 万</w:t>
            </w:r>
          </w:p>
        </w:tc>
        <w:tc>
          <w:tcPr>
            <w:tcW w:type="dxa" w:w="2160"/>
          </w:tcPr>
          <w:p>
            <w:r>
              <w:t>100-500 万</w:t>
            </w:r>
          </w:p>
        </w:tc>
      </w:tr>
      <w:tr>
        <w:tc>
          <w:tcPr>
            <w:tcW w:type="dxa" w:w="2160"/>
          </w:tcPr>
          <w:p>
            <w:r>
              <w:t>部署周期</w:t>
            </w:r>
          </w:p>
        </w:tc>
        <w:tc>
          <w:tcPr>
            <w:tcW w:type="dxa" w:w="2160"/>
          </w:tcPr>
          <w:p>
            <w:r>
              <w:t>60-90 天</w:t>
            </w:r>
          </w:p>
        </w:tc>
        <w:tc>
          <w:tcPr>
            <w:tcW w:type="dxa" w:w="2160"/>
          </w:tcPr>
          <w:p>
            <w:r>
              <w:t>15-30 天</w:t>
            </w:r>
          </w:p>
        </w:tc>
        <w:tc>
          <w:tcPr>
            <w:tcW w:type="dxa" w:w="2160"/>
          </w:tcPr>
          <w:p>
            <w:r>
              <w:t>30-45 天</w:t>
            </w:r>
          </w:p>
        </w:tc>
      </w:tr>
    </w:tbl>
    <w:p>
      <w:pPr>
        <w:pStyle w:val="Heading2"/>
      </w:pPr>
      <w:r>
        <w:t>11.2 差异化定位</w:t>
      </w:r>
    </w:p>
    <w:p>
      <w:r>
        <w:t>我们不走高端大空间路线，而是聚焦轻资产快速复制 + 独家背书：</w:t>
        <w:br/>
        <w:t>- 目标客户：普通本科/职业院校（非双一流）</w:t>
        <w:br/>
        <w:t>- 投资门槛：100 万起（曼恒 1/3）</w:t>
        <w:br/>
        <w:t>- 独家优势：学习强国 + 龙标，竞品 100% 无法复制</w:t>
      </w:r>
    </w:p>
    <w:p>
      <w:r>
        <w:br w:type="page"/>
      </w:r>
    </w:p>
    <w:p>
      <w:pPr>
        <w:pStyle w:val="Heading1"/>
      </w:pPr>
      <w:r>
        <w:t>12. Demo 演示方案</w:t>
      </w:r>
    </w:p>
    <w:p>
      <w:pPr>
        <w:pStyle w:val="Heading2"/>
      </w:pPr>
      <w:r>
        <w:t>12.1 Demo 战略价值</w:t>
      </w:r>
    </w:p>
    <w:p>
      <w:r>
        <w:t>3-5 分钟 Demo 是高校销售标配，用于：</w:t>
        <w:br/>
        <w:t>- 首次拜访：直观展示 VR 效果，降低理解成本</w:t>
        <w:br/>
        <w:t>- 招标比稿：差异化呈现，脱颖而出</w:t>
        <w:br/>
        <w:t>- 预算审批：实证视频，增强决策信心</w:t>
        <w:br/>
        <w:t>- 教师培训：展示操作流程，降低顾虑</w:t>
      </w:r>
    </w:p>
    <w:p>
      <w:pPr>
        <w:pStyle w:val="Heading2"/>
      </w:pPr>
      <w:r>
        <w:t>12.2 Demo 内容结构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时间段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</w:tr>
      <w:tr>
        <w:tc>
          <w:tcPr>
            <w:tcW w:type="dxa" w:w="2880"/>
          </w:tcPr>
          <w:p>
            <w:r>
              <w:t>0-30 秒</w:t>
            </w:r>
          </w:p>
        </w:tc>
        <w:tc>
          <w:tcPr>
            <w:tcW w:type="dxa" w:w="2880"/>
          </w:tcPr>
          <w:p>
            <w:r>
              <w:t>开场：政策 + 痛点</w:t>
            </w:r>
          </w:p>
        </w:tc>
        <w:tc>
          <w:tcPr>
            <w:tcW w:type="dxa" w:w="2880"/>
          </w:tcPr>
          <w:p>
            <w:r>
              <w:t>引起共鸣</w:t>
            </w:r>
          </w:p>
        </w:tc>
      </w:tr>
      <w:tr>
        <w:tc>
          <w:tcPr>
            <w:tcW w:type="dxa" w:w="2880"/>
          </w:tcPr>
          <w:p>
            <w:r>
              <w:t>30-90 秒</w:t>
            </w:r>
          </w:p>
        </w:tc>
        <w:tc>
          <w:tcPr>
            <w:tcW w:type="dxa" w:w="2880"/>
          </w:tcPr>
          <w:p>
            <w:r>
              <w:t>产品亮相：桂林学院实景</w:t>
            </w:r>
          </w:p>
        </w:tc>
        <w:tc>
          <w:tcPr>
            <w:tcW w:type="dxa" w:w="2880"/>
          </w:tcPr>
          <w:p>
            <w:r>
              <w:t>建立信任</w:t>
            </w:r>
          </w:p>
        </w:tc>
      </w:tr>
      <w:tr>
        <w:tc>
          <w:tcPr>
            <w:tcW w:type="dxa" w:w="2880"/>
          </w:tcPr>
          <w:p>
            <w:r>
              <w:t>90-180 秒</w:t>
            </w:r>
          </w:p>
        </w:tc>
        <w:tc>
          <w:tcPr>
            <w:tcW w:type="dxa" w:w="2880"/>
          </w:tcPr>
          <w:p>
            <w:r>
              <w:t>核心体验：VR 课程片段</w:t>
            </w:r>
          </w:p>
        </w:tc>
        <w:tc>
          <w:tcPr>
            <w:tcW w:type="dxa" w:w="2880"/>
          </w:tcPr>
          <w:p>
            <w:r>
              <w:t>展示效果</w:t>
            </w:r>
          </w:p>
        </w:tc>
      </w:tr>
      <w:tr>
        <w:tc>
          <w:tcPr>
            <w:tcW w:type="dxa" w:w="2880"/>
          </w:tcPr>
          <w:p>
            <w:r>
              <w:t>180-240 秒</w:t>
            </w:r>
          </w:p>
        </w:tc>
        <w:tc>
          <w:tcPr>
            <w:tcW w:type="dxa" w:w="2880"/>
          </w:tcPr>
          <w:p>
            <w:r>
              <w:t>学生反馈 + 数据</w:t>
            </w:r>
          </w:p>
        </w:tc>
        <w:tc>
          <w:tcPr>
            <w:tcW w:type="dxa" w:w="2880"/>
          </w:tcPr>
          <w:p>
            <w:r>
              <w:t>验证效果</w:t>
            </w:r>
          </w:p>
        </w:tc>
      </w:tr>
      <w:tr>
        <w:tc>
          <w:tcPr>
            <w:tcW w:type="dxa" w:w="2880"/>
          </w:tcPr>
          <w:p>
            <w:r>
              <w:t>240-300 秒</w:t>
            </w:r>
          </w:p>
        </w:tc>
        <w:tc>
          <w:tcPr>
            <w:tcW w:type="dxa" w:w="2880"/>
          </w:tcPr>
          <w:p>
            <w:r>
              <w:t>合作方案 + 联系方式</w:t>
            </w:r>
          </w:p>
        </w:tc>
        <w:tc>
          <w:tcPr>
            <w:tcW w:type="dxa" w:w="2880"/>
          </w:tcPr>
          <w:p>
            <w:r>
              <w:t>促成行动</w:t>
            </w:r>
          </w:p>
        </w:tc>
      </w:tr>
    </w:tbl>
    <w:p>
      <w:pPr>
        <w:pStyle w:val="Heading2"/>
      </w:pPr>
      <w:r>
        <w:t>12.3 Demo 制作计划</w:t>
      </w:r>
    </w:p>
    <w:p>
      <w:r>
        <w:t>快速版（1-2 周）：手机拍摄 + 简单剪辑，预算 1-2 万</w:t>
        <w:br/>
        <w:t>专业版（3-4 周）：专业团队拍摄，预算 5-8 万</w:t>
        <w:br/>
        <w:t>旗舰版（6-8 周）：多校取景 + 纪录片风格，预算 15-20 万</w:t>
      </w:r>
    </w:p>
    <w:p>
      <w:r>
        <w:br w:type="page"/>
      </w:r>
    </w:p>
    <w:p>
      <w:pPr>
        <w:pStyle w:val="Heading1"/>
      </w:pPr>
      <w:r>
        <w:t>13. 交付标准与服务承诺</w:t>
      </w:r>
    </w:p>
    <w:p>
      <w:pPr>
        <w:pStyle w:val="Heading2"/>
      </w:pPr>
      <w:r>
        <w:t>13.1 交付标准</w:t>
      </w:r>
    </w:p>
    <w:p>
      <w:r>
        <w:t>硬件交付：100% 开机正常，网络延迟≤20ms，眩晕率&lt;5%</w:t>
        <w:br/>
        <w:t>软件交付：所有功能正常运行，课程内容完整可用（学习强国 + 龙标认证内容）</w:t>
        <w:br/>
        <w:t>场地交付：符合设计方案，安全设施完备</w:t>
      </w:r>
    </w:p>
    <w:p>
      <w:pPr>
        <w:pStyle w:val="Heading2"/>
      </w:pPr>
      <w:r>
        <w:t>13.2 服务承诺</w:t>
      </w:r>
    </w:p>
    <w:p>
      <w:r>
        <w:t>培训服务：基础培训 1 天、教学培训 1-4 天、认证培训 5-10 天</w:t>
        <w:br/>
        <w:t>运维服务：电话咨询即时响应、远程支持≤30 分钟（80% 故障远程解决）、现场服务≤4 小时</w:t>
        <w:br/>
        <w:t>内容更新：月度常规更新、季度大版本、重大节日专题更新</w:t>
      </w:r>
    </w:p>
    <w:p>
      <w:pPr>
        <w:pStyle w:val="Heading2"/>
      </w:pPr>
      <w:r>
        <w:t>13.3 质量保证</w:t>
      </w:r>
    </w:p>
    <w:p>
      <w:r>
        <w:t>硬件设备质保 2 年、软件系统质保 1 年、装修工程质保 1 年</w:t>
        <w:br/>
        <w:t>系统可用性≥99%、故障响应≤30 分钟、故障解决≤24 小时</w:t>
        <w:br/>
        <w:t>数据安全：国密级加密传输，私有云存储</w:t>
      </w:r>
    </w:p>
    <w:p>
      <w:r>
        <w:br w:type="page"/>
      </w:r>
    </w:p>
    <w:p>
      <w:pPr>
        <w:pStyle w:val="Heading1"/>
      </w:pPr>
      <w:r>
        <w:t>14. 常见问题 FAQ</w:t>
      </w:r>
    </w:p>
    <w:p>
      <w:r>
        <w:rPr>
          <w:b/>
        </w:rPr>
        <w:t>Q1：内容是否政治安全？</w:t>
      </w:r>
    </w:p>
    <w:p>
      <w:r>
        <w:t>A：中宣部学习强国领衔出品 + 国家电影局龙标认证，双重背书，政治安全性 100% 保障。</w:t>
      </w:r>
    </w:p>
    <w:p>
      <w:r>
        <w:rPr>
          <w:b/>
        </w:rPr>
        <w:t>Q2：能否申请政府专项资金？</w:t>
      </w:r>
    </w:p>
    <w:p>
      <w:r>
        <w:t>A：可以，学习强国 + 龙标背书，申报成功率更高，可申报 20-200 万元专项资金。</w:t>
      </w:r>
    </w:p>
    <w:p>
      <w:r>
        <w:rPr>
          <w:b/>
        </w:rPr>
        <w:t>Q3：AIGC 服务是否必须采购？</w:t>
      </w:r>
    </w:p>
    <w:p>
      <w:r>
        <w:t>A：AIGC 为可选增值服务，基础订阅已包含课程更新和运维服务。</w:t>
      </w:r>
    </w:p>
    <w:p>
      <w:r>
        <w:rPr>
          <w:b/>
        </w:rPr>
        <w:t>Q4：龙标编号是多少？</w:t>
      </w:r>
    </w:p>
    <w:p>
      <w:r>
        <w:t>A：[待补充具体龙标编号]</w:t>
      </w:r>
    </w:p>
    <w:p>
      <w:r>
        <w:rPr>
          <w:b/>
        </w:rPr>
        <w:t>Q5：学习强国如何展示？</w:t>
      </w:r>
    </w:p>
    <w:p>
      <w:r>
        <w:t>A：[待补充学习强国平台链接或页面截图]</w:t>
      </w:r>
    </w:p>
    <w:p>
      <w:r>
        <w:rPr>
          <w:b/>
        </w:rPr>
        <w:t>Q6：竞品价格更低怎么办？</w:t>
      </w:r>
    </w:p>
    <w:p>
      <w:r>
        <w:t>A：强调学习强国 + 龙标背书，政治安全无价，高校采购零风险是核心价值。</w:t>
      </w:r>
    </w:p>
    <w:p>
      <w:r>
        <w:rPr>
          <w:b/>
        </w:rPr>
        <w:t>Q7：合同期限多长？</w:t>
      </w:r>
    </w:p>
    <w:p>
      <w:r>
        <w:t>A：标准合同期 3 年，含排他条款。期满可续签，续约享受优惠价格。</w:t>
      </w:r>
    </w:p>
    <w:p>
      <w:r>
        <w:br w:type="page"/>
      </w:r>
    </w:p>
    <w:p>
      <w:pPr>
        <w:pStyle w:val="Heading1"/>
      </w:pPr>
      <w:r>
        <w:t>15. 附录</w:t>
      </w:r>
    </w:p>
    <w:p>
      <w:pPr>
        <w:pStyle w:val="Heading2"/>
      </w:pPr>
      <w:r>
        <w:t>15.1 学习强国 + 龙标证明材料</w:t>
      </w:r>
    </w:p>
    <w:p>
      <w:r>
        <w:t>- 学习强国平台页面截图</w:t>
        <w:br/>
        <w:t>- 龙标证书扫描件</w:t>
        <w:br/>
        <w:t>- 官方授权书（如适用）</w:t>
        <w:br/>
        <w:t>- 宣传话术规范</w:t>
      </w:r>
    </w:p>
    <w:p>
      <w:pPr>
        <w:pStyle w:val="Heading2"/>
      </w:pPr>
      <w:r>
        <w:t>15.2 合同模板（摘要）</w:t>
      </w:r>
    </w:p>
    <w:p>
      <w:r>
        <w:t>合作协议包含：合作内容、投资金额、交付周期、服务期限、排他条款、违约责任、争议解决等。</w:t>
      </w:r>
    </w:p>
    <w:p>
      <w:pPr>
        <w:pStyle w:val="Heading2"/>
      </w:pPr>
      <w:r>
        <w:t>15.3 设备清单（标配方案）</w:t>
      </w:r>
    </w:p>
    <w:p>
      <w:r>
        <w:t>VR 一体机 20 台（PICO 4 Enterprise）、管理主机 1 台、显示设备 2 台、充电存储柜 1 台、网络设备 1 套等。</w:t>
      </w:r>
    </w:p>
    <w:p>
      <w:pPr>
        <w:pStyle w:val="Heading2"/>
      </w:pPr>
      <w:r>
        <w:t>15.4 课程内容目录</w:t>
      </w:r>
    </w:p>
    <w:p>
      <w:pPr>
        <w:pStyle w:val="ListBullet"/>
      </w:pPr>
      <w:r>
        <w:t>党史教育：《长征路上的抉择》《遵义会议》《开国大典》《改革开放春潮》等（学习强国 + 龙标认证）</w:t>
      </w:r>
    </w:p>
    <w:p>
      <w:pPr>
        <w:pStyle w:val="ListBullet"/>
      </w:pPr>
      <w:r>
        <w:t>国情教育：《脱贫攻坚伟大成就》《大国重器》《抗疫精神》等</w:t>
      </w:r>
    </w:p>
    <w:p>
      <w:pPr>
        <w:pStyle w:val="ListBullet"/>
      </w:pPr>
      <w:r>
        <w:t>红色文化：《井冈山精神》《延安岁月》《西柏坡赶考》《红船启航》等</w:t>
      </w:r>
    </w:p>
    <w:p>
      <w:pPr>
        <w:pStyle w:val="ListBullet"/>
      </w:pPr>
      <w:r>
        <w:t>价值观教育：《榜样的力量》《青春告白祖国》《职业道德》等</w:t>
      </w:r>
    </w:p>
    <w:p>
      <w:pPr>
        <w:pStyle w:val="ListBullet"/>
      </w:pPr>
      <w:r>
        <w:t>校史教育：《学校发展史》（可定制）</w:t>
      </w:r>
    </w:p>
    <w:p>
      <w:pPr>
        <w:pStyle w:val="ListBullet"/>
      </w:pPr>
      <w:r>
        <w:t>实践实训：《思政微课演练》《演讲比赛模拟》《情景剧排演》等</w:t>
      </w:r>
    </w:p>
    <w:p/>
    <w:p>
      <w:pPr>
        <w:jc w:val="center"/>
      </w:pPr>
      <w:r>
        <w:rPr>
          <w:b/>
        </w:rPr>
        <w:t>编制单位：[公司名称]</w:t>
        <w:br/>
      </w:r>
      <w:r>
        <w:t>编制日期：2026 年 4 月</w:t>
        <w:br/>
      </w:r>
      <w:r>
        <w:rPr>
          <w:b/>
        </w:rPr>
        <w:t>🔴 中宣部学习强国领衔出品 | 🎬 国家电影局首个 VR 龙标认证</w:t>
        <w:br/>
      </w:r>
      <w:r>
        <w:rPr>
          <w:i/>
        </w:rPr>
        <w:t>本方案版权归 [公司名称] 所有，未经许可不得外传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