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高校思政 VR 百校复制方案</w:t>
      </w:r>
    </w:p>
    <w:p>
      <w:pPr>
        <w:jc w:val="center"/>
      </w:pPr>
      <w:r>
        <w:rPr>
          <w:b/>
        </w:rPr>
        <w:t>版本号：V1.0</w:t>
        <w:br/>
      </w:r>
      <w:r>
        <w:t>编制日期：2026 年 4 月</w:t>
        <w:br/>
      </w:r>
      <w:r>
        <w:t>编制单位：[公司名称]</w:t>
      </w:r>
    </w:p>
    <w:p/>
    <w:p>
      <w:pPr>
        <w:pStyle w:val="Heading1"/>
      </w:pPr>
      <w:r>
        <w:t>目录</w:t>
      </w:r>
    </w:p>
    <w:p>
      <w:pPr>
        <w:pStyle w:val="ListNumber"/>
      </w:pPr>
      <w:r>
        <w:t>1. 执行摘要</w:t>
      </w:r>
    </w:p>
    <w:p>
      <w:pPr>
        <w:pStyle w:val="ListNumber"/>
      </w:pPr>
      <w:r>
        <w:t>2. 项目背景与政策风口</w:t>
      </w:r>
    </w:p>
    <w:p>
      <w:pPr>
        <w:pStyle w:val="ListNumber"/>
      </w:pPr>
      <w:r>
        <w:t>3. 桂林学院标杆案例</w:t>
      </w:r>
    </w:p>
    <w:p>
      <w:pPr>
        <w:pStyle w:val="ListNumber"/>
      </w:pPr>
      <w:r>
        <w:t>4. 三档合作方案</w:t>
      </w:r>
    </w:p>
    <w:p>
      <w:pPr>
        <w:pStyle w:val="ListNumber"/>
      </w:pPr>
      <w:r>
        <w:t>5. 财务测算与投资回报</w:t>
      </w:r>
    </w:p>
    <w:p>
      <w:pPr>
        <w:pStyle w:val="ListNumber"/>
      </w:pPr>
      <w:r>
        <w:t>6. 百校复制路线图</w:t>
      </w:r>
    </w:p>
    <w:p>
      <w:pPr>
        <w:pStyle w:val="ListNumber"/>
      </w:pPr>
      <w:r>
        <w:t>7. 政策支持与申报指南</w:t>
      </w:r>
    </w:p>
    <w:p>
      <w:pPr>
        <w:pStyle w:val="ListNumber"/>
      </w:pPr>
      <w:r>
        <w:t>8. 交付标准与服务承诺</w:t>
      </w:r>
    </w:p>
    <w:p>
      <w:pPr>
        <w:pStyle w:val="ListNumber"/>
      </w:pPr>
      <w:r>
        <w:t>9. 常见问题 FAQ</w:t>
      </w:r>
    </w:p>
    <w:p>
      <w:pPr>
        <w:pStyle w:val="ListNumber"/>
      </w:pPr>
      <w:r>
        <w:t>10. 附录</w:t>
      </w:r>
    </w:p>
    <w:p>
      <w:r>
        <w:br w:type="page"/>
      </w:r>
    </w:p>
    <w:p>
      <w:pPr>
        <w:pStyle w:val="Heading1"/>
      </w:pPr>
      <w:r>
        <w:t>1. 执行摘要</w:t>
      </w:r>
    </w:p>
    <w:p>
      <w:pPr>
        <w:pStyle w:val="Heading2"/>
      </w:pPr>
      <w:r>
        <w:t>1.1 项目定位</w:t>
      </w:r>
    </w:p>
    <w:p>
      <w:r>
        <w:t>本项目是全国首个高校思政 VR 轻资产运营标杆项目，以桂林学院为起点，计划 3 年内复制推广至 100 所高校，打造沉浸式思政教育新生态。</w:t>
      </w:r>
    </w:p>
    <w:p>
      <w:pPr>
        <w:pStyle w:val="Heading2"/>
      </w:pPr>
      <w:r>
        <w:t>1.2 核心优势</w:t>
      </w:r>
    </w:p>
    <w:p>
      <w:pPr>
        <w:pStyle w:val="ListBullet"/>
      </w:pPr>
      <w:r>
        <w:t>政策强力支持：教育部大力推进"大思政课"建设，VR+ 教育是重点支持方向</w:t>
      </w:r>
    </w:p>
    <w:p>
      <w:pPr>
        <w:pStyle w:val="ListBullet"/>
      </w:pPr>
      <w:r>
        <w:t>商业模式验证：桂林学院项目已验证可行性，毛利率达 42.5%</w:t>
      </w:r>
    </w:p>
    <w:p>
      <w:pPr>
        <w:pStyle w:val="ListBullet"/>
      </w:pPr>
      <w:r>
        <w:t>轻资产运营：设备租赁 + 内容订阅模式，降低院校一次性投入压力</w:t>
      </w:r>
    </w:p>
    <w:p>
      <w:pPr>
        <w:pStyle w:val="ListBullet"/>
      </w:pPr>
      <w:r>
        <w:t>标准化交付：单校部署周期≤30 天，可快速复制</w:t>
      </w:r>
    </w:p>
    <w:p>
      <w:pPr>
        <w:pStyle w:val="Heading2"/>
      </w:pPr>
      <w:r>
        <w:t>1.3 投资规模与回报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方案档次</w:t>
            </w:r>
          </w:p>
        </w:tc>
        <w:tc>
          <w:tcPr>
            <w:tcW w:type="dxa" w:w="2160"/>
          </w:tcPr>
          <w:p>
            <w:r>
              <w:t>投资金额</w:t>
            </w:r>
          </w:p>
        </w:tc>
        <w:tc>
          <w:tcPr>
            <w:tcW w:type="dxa" w:w="2160"/>
          </w:tcPr>
          <w:p>
            <w:r>
              <w:t>VR 设备数</w:t>
            </w:r>
          </w:p>
        </w:tc>
        <w:tc>
          <w:tcPr>
            <w:tcW w:type="dxa" w:w="2160"/>
          </w:tcPr>
          <w:p>
            <w:r>
              <w:t>投资回收期</w:t>
            </w:r>
          </w:p>
        </w:tc>
      </w:tr>
      <w:tr>
        <w:tc>
          <w:tcPr>
            <w:tcW w:type="dxa" w:w="2160"/>
          </w:tcPr>
          <w:p>
            <w:r>
              <w:t>标配</w:t>
            </w:r>
          </w:p>
        </w:tc>
        <w:tc>
          <w:tcPr>
            <w:tcW w:type="dxa" w:w="2160"/>
          </w:tcPr>
          <w:p>
            <w:r>
              <w:t>100 万元</w:t>
            </w:r>
          </w:p>
        </w:tc>
        <w:tc>
          <w:tcPr>
            <w:tcW w:type="dxa" w:w="2160"/>
          </w:tcPr>
          <w:p>
            <w:r>
              <w:t>20 台</w:t>
            </w:r>
          </w:p>
        </w:tc>
        <w:tc>
          <w:tcPr>
            <w:tcW w:type="dxa" w:w="2160"/>
          </w:tcPr>
          <w:p>
            <w:r>
              <w:t>18-24 个月</w:t>
            </w:r>
          </w:p>
        </w:tc>
      </w:tr>
      <w:tr>
        <w:tc>
          <w:tcPr>
            <w:tcW w:type="dxa" w:w="2160"/>
          </w:tcPr>
          <w:p>
            <w:r>
              <w:t>高配</w:t>
            </w:r>
          </w:p>
        </w:tc>
        <w:tc>
          <w:tcPr>
            <w:tcW w:type="dxa" w:w="2160"/>
          </w:tcPr>
          <w:p>
            <w:r>
              <w:t>200 万元</w:t>
            </w:r>
          </w:p>
        </w:tc>
        <w:tc>
          <w:tcPr>
            <w:tcW w:type="dxa" w:w="2160"/>
          </w:tcPr>
          <w:p>
            <w:r>
              <w:t>40 台</w:t>
            </w:r>
          </w:p>
        </w:tc>
        <w:tc>
          <w:tcPr>
            <w:tcW w:type="dxa" w:w="2160"/>
          </w:tcPr>
          <w:p>
            <w:r>
              <w:t>20-26 个月</w:t>
            </w:r>
          </w:p>
        </w:tc>
      </w:tr>
      <w:tr>
        <w:tc>
          <w:tcPr>
            <w:tcW w:type="dxa" w:w="2160"/>
          </w:tcPr>
          <w:p>
            <w:r>
              <w:t>顶配</w:t>
            </w:r>
          </w:p>
        </w:tc>
        <w:tc>
          <w:tcPr>
            <w:tcW w:type="dxa" w:w="2160"/>
          </w:tcPr>
          <w:p>
            <w:r>
              <w:t>500 万元</w:t>
            </w:r>
          </w:p>
        </w:tc>
        <w:tc>
          <w:tcPr>
            <w:tcW w:type="dxa" w:w="2160"/>
          </w:tcPr>
          <w:p>
            <w:r>
              <w:t>100 台</w:t>
            </w:r>
          </w:p>
        </w:tc>
        <w:tc>
          <w:tcPr>
            <w:tcW w:type="dxa" w:w="2160"/>
          </w:tcPr>
          <w:p>
            <w:r>
              <w:t>24-30 个月</w:t>
            </w:r>
          </w:p>
        </w:tc>
      </w:tr>
    </w:tbl>
    <w:p>
      <w:pPr>
        <w:pStyle w:val="Heading2"/>
      </w:pPr>
      <w:r>
        <w:t>1.4 三年目标</w:t>
      </w:r>
    </w:p>
    <w:p>
      <w:pPr>
        <w:pStyle w:val="ListBullet"/>
      </w:pPr>
      <w:r>
        <w:t>2026 年：完成 10 所高校部署，实现收入 1000 万元</w:t>
      </w:r>
    </w:p>
    <w:p>
      <w:pPr>
        <w:pStyle w:val="ListBullet"/>
      </w:pPr>
      <w:r>
        <w:t>2027 年：完成 50 所高校部署，实现收入 5000 万元</w:t>
      </w:r>
    </w:p>
    <w:p>
      <w:pPr>
        <w:pStyle w:val="ListBullet"/>
      </w:pPr>
      <w:r>
        <w:t>2028 年：完成 100 所高校部署，实现收入 1 亿元</w:t>
      </w:r>
    </w:p>
    <w:p>
      <w:r>
        <w:br w:type="page"/>
      </w:r>
    </w:p>
    <w:p>
      <w:pPr>
        <w:pStyle w:val="Heading1"/>
      </w:pPr>
      <w:r>
        <w:t>2. 项目背景与政策风口</w:t>
      </w:r>
    </w:p>
    <w:p>
      <w:pPr>
        <w:pStyle w:val="Heading2"/>
      </w:pPr>
      <w:r>
        <w:t>2.1 思政教育现状与痛点</w:t>
      </w:r>
    </w:p>
    <w:p>
      <w:r>
        <w:t>传统思政教育存在教学方式单一、内容抽象难懂、实践环节薄弱、效果评估困难等问题。Z 世代大学生是数字原住民，习惯沉浸式、互动式学习。</w:t>
      </w:r>
    </w:p>
    <w:p>
      <w:pPr>
        <w:pStyle w:val="Heading2"/>
      </w:pPr>
      <w:r>
        <w:t>2.2 VR 技术优势</w:t>
      </w:r>
    </w:p>
    <w:p>
      <w:r>
        <w:t>VR 技术具有沉浸式体验、互动性强、场景还原、安全可控、数据追踪等优势，可提升学习兴趣，加深理解记忆，突破时空限制。</w:t>
      </w:r>
    </w:p>
    <w:p>
      <w:pPr>
        <w:pStyle w:val="Heading2"/>
      </w:pPr>
      <w:r>
        <w:t>2.3 政策支持</w:t>
      </w:r>
    </w:p>
    <w:p>
      <w:pPr>
        <w:pStyle w:val="ListBullet"/>
      </w:pPr>
      <w:r>
        <w:t>《全面推进"大思政课"建设的工作方案》（教育部等十部门，2022 年）</w:t>
      </w:r>
    </w:p>
    <w:p>
      <w:pPr>
        <w:pStyle w:val="ListBullet"/>
      </w:pPr>
      <w:r>
        <w:t>《虚拟现实与行业应用融合发展行动计划（2022-2026 年）》（工信部等五部门）</w:t>
      </w:r>
    </w:p>
    <w:p>
      <w:pPr>
        <w:pStyle w:val="ListBullet"/>
      </w:pPr>
      <w:r>
        <w:t>《新时代学校思想政治理论课改革创新实施方案》（教育部，2020 年）</w:t>
      </w:r>
    </w:p>
    <w:p>
      <w:r>
        <w:br w:type="page"/>
      </w:r>
    </w:p>
    <w:p>
      <w:pPr>
        <w:pStyle w:val="Heading1"/>
      </w:pPr>
      <w:r>
        <w:t>3. 桂林学院标杆案例</w:t>
      </w:r>
    </w:p>
    <w:p>
      <w:pPr>
        <w:pStyle w:val="Heading2"/>
      </w:pPr>
      <w:r>
        <w:t>3.1 项目概况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合作院校</w:t>
            </w:r>
          </w:p>
        </w:tc>
        <w:tc>
          <w:tcPr>
            <w:tcW w:type="dxa" w:w="4320"/>
          </w:tcPr>
          <w:p>
            <w:r>
              <w:t>桂林学院</w:t>
            </w:r>
          </w:p>
        </w:tc>
      </w:tr>
      <w:tr>
        <w:tc>
          <w:tcPr>
            <w:tcW w:type="dxa" w:w="4320"/>
          </w:tcPr>
          <w:p>
            <w:r>
              <w:t>签约时间</w:t>
            </w:r>
          </w:p>
        </w:tc>
        <w:tc>
          <w:tcPr>
            <w:tcW w:type="dxa" w:w="4320"/>
          </w:tcPr>
          <w:p>
            <w:r>
              <w:t>2025 年 9 月</w:t>
            </w:r>
          </w:p>
        </w:tc>
      </w:tr>
      <w:tr>
        <w:tc>
          <w:tcPr>
            <w:tcW w:type="dxa" w:w="4320"/>
          </w:tcPr>
          <w:p>
            <w:r>
              <w:t>正式运营</w:t>
            </w:r>
          </w:p>
        </w:tc>
        <w:tc>
          <w:tcPr>
            <w:tcW w:type="dxa" w:w="4320"/>
          </w:tcPr>
          <w:p>
            <w:r>
              <w:t>2025 年 12 月</w:t>
            </w:r>
          </w:p>
        </w:tc>
      </w:tr>
      <w:tr>
        <w:tc>
          <w:tcPr>
            <w:tcW w:type="dxa" w:w="4320"/>
          </w:tcPr>
          <w:p>
            <w:r>
              <w:t>投资金额</w:t>
            </w:r>
          </w:p>
        </w:tc>
        <w:tc>
          <w:tcPr>
            <w:tcW w:type="dxa" w:w="4320"/>
          </w:tcPr>
          <w:p>
            <w:r>
              <w:t>100 万元</w:t>
            </w:r>
          </w:p>
        </w:tc>
      </w:tr>
      <w:tr>
        <w:tc>
          <w:tcPr>
            <w:tcW w:type="dxa" w:w="4320"/>
          </w:tcPr>
          <w:p>
            <w:r>
              <w:t>设备规模</w:t>
            </w:r>
          </w:p>
        </w:tc>
        <w:tc>
          <w:tcPr>
            <w:tcW w:type="dxa" w:w="4320"/>
          </w:tcPr>
          <w:p>
            <w:r>
              <w:t>20 台 VR 一体机</w:t>
            </w:r>
          </w:p>
        </w:tc>
      </w:tr>
      <w:tr>
        <w:tc>
          <w:tcPr>
            <w:tcW w:type="dxa" w:w="4320"/>
          </w:tcPr>
          <w:p>
            <w:r>
              <w:t>场地面积</w:t>
            </w:r>
          </w:p>
        </w:tc>
        <w:tc>
          <w:tcPr>
            <w:tcW w:type="dxa" w:w="4320"/>
          </w:tcPr>
          <w:p>
            <w:r>
              <w:t>80 平方米 VR 实训室</w:t>
            </w:r>
          </w:p>
        </w:tc>
      </w:tr>
      <w:tr>
        <w:tc>
          <w:tcPr>
            <w:tcW w:type="dxa" w:w="4320"/>
          </w:tcPr>
          <w:p>
            <w:r>
              <w:t>服务师生</w:t>
            </w:r>
          </w:p>
        </w:tc>
        <w:tc>
          <w:tcPr>
            <w:tcW w:type="dxa" w:w="4320"/>
          </w:tcPr>
          <w:p>
            <w:r>
              <w:t>年均 3000+ 人次</w:t>
            </w:r>
          </w:p>
        </w:tc>
      </w:tr>
    </w:tbl>
    <w:p>
      <w:pPr>
        <w:pStyle w:val="Heading2"/>
      </w:pPr>
      <w:r>
        <w:t>3.2 课程内容</w:t>
      </w:r>
    </w:p>
    <w:p>
      <w:r>
        <w:t>包含 12 门 VR 思政精品课程，涵盖党史教育、国情教育、红色文化、价值观教育、校史教育、实践实训六大模块。</w:t>
      </w:r>
    </w:p>
    <w:p>
      <w:pPr>
        <w:pStyle w:val="Heading2"/>
      </w:pPr>
      <w:r>
        <w:t>3.3 教学效果</w:t>
      </w:r>
    </w:p>
    <w:p>
      <w:pPr>
        <w:pStyle w:val="ListBullet"/>
      </w:pPr>
      <w:r>
        <w:t>学习兴趣：65 分 → 92 分（+41.5%）</w:t>
      </w:r>
    </w:p>
    <w:p>
      <w:pPr>
        <w:pStyle w:val="ListBullet"/>
      </w:pPr>
      <w:r>
        <w:t>知识掌握：72 分 → 88 分（+22.2%）</w:t>
      </w:r>
    </w:p>
    <w:p>
      <w:pPr>
        <w:pStyle w:val="ListBullet"/>
      </w:pPr>
      <w:r>
        <w:t>课堂参与：58 分 → 94 分（+62.1%）</w:t>
      </w:r>
    </w:p>
    <w:p>
      <w:pPr>
        <w:pStyle w:val="ListBullet"/>
      </w:pPr>
      <w:r>
        <w:t>记忆留存：45% → 78%（+73.3%）</w:t>
      </w:r>
    </w:p>
    <w:p>
      <w:pPr>
        <w:pStyle w:val="ListBullet"/>
      </w:pPr>
      <w:r>
        <w:t>课程满意度：75 分 → 96 分（+28.0%）</w:t>
      </w:r>
    </w:p>
    <w:p>
      <w:pPr>
        <w:pStyle w:val="Heading2"/>
      </w:pPr>
      <w:r>
        <w:t>3.4 财务表现</w:t>
      </w:r>
    </w:p>
    <w:p>
      <w:r>
        <w:t>年收入：60 万元</w:t>
        <w:br/>
        <w:t>年成本：34.5 万元</w:t>
        <w:br/>
        <w:t>年毛利润：25.5 万元</w:t>
        <w:br/>
        <w:t>毛利率：42.5%</w:t>
        <w:br/>
        <w:t>投资回收期：约 20 个月</w:t>
      </w:r>
    </w:p>
    <w:p>
      <w:r>
        <w:br w:type="page"/>
      </w:r>
    </w:p>
    <w:p>
      <w:pPr>
        <w:pStyle w:val="Heading1"/>
      </w:pPr>
      <w:r>
        <w:t>4. 三档合作方案</w:t>
      </w:r>
    </w:p>
    <w:p>
      <w:pPr>
        <w:pStyle w:val="Heading2"/>
      </w:pPr>
      <w:r>
        <w:t>4.1 标配方案（100 万元）</w:t>
      </w:r>
    </w:p>
    <w:p>
      <w:r>
        <w:t>适用对象：首次尝试 VR 思政教育的院校、普通本科院校、单校试点项目</w:t>
      </w:r>
    </w:p>
    <w:p>
      <w:r>
        <w:t>配置：20 台 VR 一体机、12 门课程、80㎡VR 实训室、2 天师资培训、3 个月运营指导</w:t>
      </w:r>
    </w:p>
    <w:p>
      <w:r>
        <w:t>交付周期：合同签订后 30 天</w:t>
      </w:r>
    </w:p>
    <w:p>
      <w:pPr>
        <w:pStyle w:val="Heading2"/>
      </w:pPr>
      <w:r>
        <w:t>4.2 高配方案（200 万元）</w:t>
      </w:r>
    </w:p>
    <w:p>
      <w:r>
        <w:t>适用对象：重点马院、省级思政示范院校、有一定 VR 应用基础的院校</w:t>
      </w:r>
    </w:p>
    <w:p>
      <w:r>
        <w:t>配置：40 台 VR 一体机、20+2 定制课程、150㎡VR 实训中心、5 天师资培训、6 个月驻校支持</w:t>
      </w:r>
    </w:p>
    <w:p>
      <w:r>
        <w:t>交付周期：合同签订后 45 天</w:t>
      </w:r>
    </w:p>
    <w:p>
      <w:pPr>
        <w:pStyle w:val="Heading2"/>
      </w:pPr>
      <w:r>
        <w:t>4.3 顶配方案（500 万元）</w:t>
      </w:r>
    </w:p>
    <w:p>
      <w:r>
        <w:t>适用对象：双一流高校、省级思政教育中心、区域示范标杆项目</w:t>
      </w:r>
    </w:p>
    <w:p>
      <w:r>
        <w:t>配置：100 台 VR 一体机、30+5 定制课程、300㎡VR 思政中心、10 天系统培训、12 个月驻校支持</w:t>
      </w:r>
    </w:p>
    <w:p>
      <w:r>
        <w:t>交付周期：合同签订后 60 天</w:t>
      </w:r>
    </w:p>
    <w:p>
      <w:r>
        <w:br w:type="page"/>
      </w:r>
    </w:p>
    <w:p>
      <w:pPr>
        <w:pStyle w:val="Heading1"/>
      </w:pPr>
      <w:r>
        <w:t>5. 财务测算与投资回报</w:t>
      </w:r>
    </w:p>
    <w:p>
      <w:pPr>
        <w:pStyle w:val="Heading2"/>
      </w:pPr>
      <w:r>
        <w:t>5.1 收入模型</w:t>
      </w:r>
    </w:p>
    <w:p>
      <w:r>
        <w:t>收入来源：设备租赁费（30%）、内容订阅费（15%）、运营服务费（10%）、定制开发费（按需）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方案</w:t>
            </w:r>
          </w:p>
        </w:tc>
        <w:tc>
          <w:tcPr>
            <w:tcW w:type="dxa" w:w="1440"/>
          </w:tcPr>
          <w:p>
            <w:r>
              <w:t>设备租赁</w:t>
            </w:r>
          </w:p>
        </w:tc>
        <w:tc>
          <w:tcPr>
            <w:tcW w:type="dxa" w:w="1440"/>
          </w:tcPr>
          <w:p>
            <w:r>
              <w:t>内容订阅</w:t>
            </w:r>
          </w:p>
        </w:tc>
        <w:tc>
          <w:tcPr>
            <w:tcW w:type="dxa" w:w="1440"/>
          </w:tcPr>
          <w:p>
            <w:r>
              <w:t>运营服务</w:t>
            </w:r>
          </w:p>
        </w:tc>
        <w:tc>
          <w:tcPr>
            <w:tcW w:type="dxa" w:w="1440"/>
          </w:tcPr>
          <w:p>
            <w:r>
              <w:t>定制开发</w:t>
            </w:r>
          </w:p>
        </w:tc>
        <w:tc>
          <w:tcPr>
            <w:tcW w:type="dxa" w:w="1440"/>
          </w:tcPr>
          <w:p>
            <w:r>
              <w:t>合计</w:t>
            </w:r>
          </w:p>
        </w:tc>
      </w:tr>
      <w:tr>
        <w:tc>
          <w:tcPr>
            <w:tcW w:type="dxa" w:w="1440"/>
          </w:tcPr>
          <w:p>
            <w:r>
              <w:t>标配</w:t>
            </w:r>
          </w:p>
        </w:tc>
        <w:tc>
          <w:tcPr>
            <w:tcW w:type="dxa" w:w="1440"/>
          </w:tcPr>
          <w:p>
            <w:r>
              <w:t>30 万</w:t>
            </w:r>
          </w:p>
        </w:tc>
        <w:tc>
          <w:tcPr>
            <w:tcW w:type="dxa" w:w="1440"/>
          </w:tcPr>
          <w:p>
            <w:r>
              <w:t>15 万</w:t>
            </w:r>
          </w:p>
        </w:tc>
        <w:tc>
          <w:tcPr>
            <w:tcW w:type="dxa" w:w="1440"/>
          </w:tcPr>
          <w:p>
            <w:r>
              <w:t>10 万</w:t>
            </w:r>
          </w:p>
        </w:tc>
        <w:tc>
          <w:tcPr>
            <w:tcW w:type="dxa" w:w="1440"/>
          </w:tcPr>
          <w:p>
            <w:r>
              <w:t>5 万</w:t>
            </w:r>
          </w:p>
        </w:tc>
        <w:tc>
          <w:tcPr>
            <w:tcW w:type="dxa" w:w="1440"/>
          </w:tcPr>
          <w:p>
            <w:r>
              <w:t>60 万</w:t>
            </w:r>
          </w:p>
        </w:tc>
      </w:tr>
      <w:tr>
        <w:tc>
          <w:tcPr>
            <w:tcW w:type="dxa" w:w="1440"/>
          </w:tcPr>
          <w:p>
            <w:r>
              <w:t>高配</w:t>
            </w:r>
          </w:p>
        </w:tc>
        <w:tc>
          <w:tcPr>
            <w:tcW w:type="dxa" w:w="1440"/>
          </w:tcPr>
          <w:p>
            <w:r>
              <w:t>60 万</w:t>
            </w:r>
          </w:p>
        </w:tc>
        <w:tc>
          <w:tcPr>
            <w:tcW w:type="dxa" w:w="1440"/>
          </w:tcPr>
          <w:p>
            <w:r>
              <w:t>30 万</w:t>
            </w:r>
          </w:p>
        </w:tc>
        <w:tc>
          <w:tcPr>
            <w:tcW w:type="dxa" w:w="1440"/>
          </w:tcPr>
          <w:p>
            <w:r>
              <w:t>20 万</w:t>
            </w:r>
          </w:p>
        </w:tc>
        <w:tc>
          <w:tcPr>
            <w:tcW w:type="dxa" w:w="1440"/>
          </w:tcPr>
          <w:p>
            <w:r>
              <w:t>10 万</w:t>
            </w:r>
          </w:p>
        </w:tc>
        <w:tc>
          <w:tcPr>
            <w:tcW w:type="dxa" w:w="1440"/>
          </w:tcPr>
          <w:p>
            <w:r>
              <w:t>120 万</w:t>
            </w:r>
          </w:p>
        </w:tc>
      </w:tr>
      <w:tr>
        <w:tc>
          <w:tcPr>
            <w:tcW w:type="dxa" w:w="1440"/>
          </w:tcPr>
          <w:p>
            <w:r>
              <w:t>顶配</w:t>
            </w:r>
          </w:p>
        </w:tc>
        <w:tc>
          <w:tcPr>
            <w:tcW w:type="dxa" w:w="1440"/>
          </w:tcPr>
          <w:p>
            <w:r>
              <w:t>150 万</w:t>
            </w:r>
          </w:p>
        </w:tc>
        <w:tc>
          <w:tcPr>
            <w:tcW w:type="dxa" w:w="1440"/>
          </w:tcPr>
          <w:p>
            <w:r>
              <w:t>75 万</w:t>
            </w:r>
          </w:p>
        </w:tc>
        <w:tc>
          <w:tcPr>
            <w:tcW w:type="dxa" w:w="1440"/>
          </w:tcPr>
          <w:p>
            <w:r>
              <w:t>50 万</w:t>
            </w:r>
          </w:p>
        </w:tc>
        <w:tc>
          <w:tcPr>
            <w:tcW w:type="dxa" w:w="1440"/>
          </w:tcPr>
          <w:p>
            <w:r>
              <w:t>25 万</w:t>
            </w:r>
          </w:p>
        </w:tc>
        <w:tc>
          <w:tcPr>
            <w:tcW w:type="dxa" w:w="1440"/>
          </w:tcPr>
          <w:p>
            <w:r>
              <w:t>300 万</w:t>
            </w:r>
          </w:p>
        </w:tc>
      </w:tr>
    </w:tbl>
    <w:p>
      <w:pPr>
        <w:pStyle w:val="Heading2"/>
      </w:pPr>
      <w:r>
        <w:t>5.2 盈利分析</w:t>
      </w:r>
    </w:p>
    <w:p>
      <w:r>
        <w:t>单校毛利率：42.5%</w:t>
        <w:br/>
        <w:t>投资回收期：约 20 个月</w:t>
        <w:br/>
        <w:t>三年累计收入：1.6 亿元</w:t>
        <w:br/>
        <w:t>三年累计毛利：6800 万元</w:t>
      </w:r>
    </w:p>
    <w:p>
      <w:r>
        <w:br w:type="page"/>
      </w:r>
    </w:p>
    <w:p>
      <w:pPr>
        <w:pStyle w:val="Heading1"/>
      </w:pPr>
      <w:r>
        <w:t>6. 百校复制路线图</w:t>
      </w:r>
    </w:p>
    <w:p>
      <w:pPr>
        <w:pStyle w:val="Heading2"/>
      </w:pPr>
      <w:r>
        <w:t>6.1 总体目标</w:t>
      </w:r>
    </w:p>
    <w:p>
      <w:r>
        <w:t>3 年 100 校，打造全国高校思政 VR 教育第一品牌</w:t>
      </w:r>
    </w:p>
    <w:p>
      <w:pPr>
        <w:pStyle w:val="Heading2"/>
      </w:pPr>
      <w:r>
        <w:t>6.2 阶段规划</w:t>
      </w:r>
    </w:p>
    <w:p>
      <w:pPr>
        <w:pStyle w:val="ListBullet"/>
      </w:pPr>
      <w:r>
        <w:t>第一阶段（2026 Q2-Q4）：完成 10 所高校部署，收入 1000 万元</w:t>
      </w:r>
    </w:p>
    <w:p>
      <w:pPr>
        <w:pStyle w:val="ListBullet"/>
      </w:pPr>
      <w:r>
        <w:t>第二阶段（2027 全年）：完成 50 所高校部署，收入 5000 万元</w:t>
      </w:r>
    </w:p>
    <w:p>
      <w:pPr>
        <w:pStyle w:val="ListBullet"/>
      </w:pPr>
      <w:r>
        <w:t>第三阶段（2028 全年）：完成 100 所高校部署，收入 1 亿元</w:t>
      </w:r>
    </w:p>
    <w:p>
      <w:pPr>
        <w:pStyle w:val="Heading2"/>
      </w:pPr>
      <w:r>
        <w:t>6.3 区域布局</w:t>
      </w:r>
    </w:p>
    <w:p>
      <w:pPr>
        <w:pStyle w:val="ListBullet"/>
      </w:pPr>
      <w:r>
        <w:t>华东（江浙沪皖鲁）：25 所</w:t>
      </w:r>
    </w:p>
    <w:p>
      <w:pPr>
        <w:pStyle w:val="ListBullet"/>
      </w:pPr>
      <w:r>
        <w:t>华北（京津冀晋）：20 所</w:t>
      </w:r>
    </w:p>
    <w:p>
      <w:pPr>
        <w:pStyle w:val="ListBullet"/>
      </w:pPr>
      <w:r>
        <w:t>华南（粤桂琼）：15 所</w:t>
      </w:r>
    </w:p>
    <w:p>
      <w:pPr>
        <w:pStyle w:val="ListBullet"/>
      </w:pPr>
      <w:r>
        <w:t>华中（鄂湘豫）：15 所</w:t>
      </w:r>
    </w:p>
    <w:p>
      <w:pPr>
        <w:pStyle w:val="ListBullet"/>
      </w:pPr>
      <w:r>
        <w:t>西南（川渝云贵）：15 所</w:t>
      </w:r>
    </w:p>
    <w:p>
      <w:pPr>
        <w:pStyle w:val="ListBullet"/>
      </w:pPr>
      <w:r>
        <w:t>西北（陕甘新）：10 所</w:t>
      </w:r>
    </w:p>
    <w:p>
      <w:r>
        <w:br w:type="page"/>
      </w:r>
    </w:p>
    <w:p>
      <w:pPr>
        <w:pStyle w:val="Heading1"/>
      </w:pPr>
      <w:r>
        <w:t>7. 政策支持与申报指南</w:t>
      </w:r>
    </w:p>
    <w:p>
      <w:pPr>
        <w:pStyle w:val="Heading2"/>
      </w:pPr>
      <w:r>
        <w:t>7.1 可申报项目</w:t>
      </w:r>
    </w:p>
    <w:p>
      <w:pPr>
        <w:pStyle w:val="ListBullet"/>
      </w:pPr>
      <w:r>
        <w:t>国家级：大思政课示范项目（50-100 万）、虚拟仿真实验教学项目（30-80 万）</w:t>
      </w:r>
    </w:p>
    <w:p>
      <w:pPr>
        <w:pStyle w:val="ListBullet"/>
      </w:pPr>
      <w:r>
        <w:t>省级：思政工作精品项目（20-50 万）、智慧马院建设（30-100 万）、虚拟仿真基地（50-200 万）</w:t>
      </w:r>
    </w:p>
    <w:p>
      <w:pPr>
        <w:pStyle w:val="Heading2"/>
      </w:pPr>
      <w:r>
        <w:t>7.2 申报策略</w:t>
      </w:r>
    </w:p>
    <w:p>
      <w:r>
        <w:t>最佳时机：项目落地后 3-6 个月（有运营数据支撑）</w:t>
        <w:br/>
        <w:t>申报成功率提升技巧：突出创新性、数据支撑、示范效应、校政企协同</w:t>
      </w:r>
    </w:p>
    <w:p>
      <w:r>
        <w:br w:type="page"/>
      </w:r>
    </w:p>
    <w:p>
      <w:pPr>
        <w:pStyle w:val="Heading1"/>
      </w:pPr>
      <w:r>
        <w:t>8. 交付标准与服务承诺</w:t>
      </w:r>
    </w:p>
    <w:p>
      <w:pPr>
        <w:pStyle w:val="Heading2"/>
      </w:pPr>
      <w:r>
        <w:t>8.1 交付标准</w:t>
      </w:r>
    </w:p>
    <w:p>
      <w:r>
        <w:t>硬件交付：100% 开机正常，网络延迟≤20ms</w:t>
        <w:br/>
        <w:t>软件交付：所有功能正常运行，课程内容完整可用</w:t>
        <w:br/>
        <w:t>场地交付：符合设计方案，安全设施完备</w:t>
      </w:r>
    </w:p>
    <w:p>
      <w:pPr>
        <w:pStyle w:val="Heading2"/>
      </w:pPr>
      <w:r>
        <w:t>8.2 服务承诺</w:t>
      </w:r>
    </w:p>
    <w:p>
      <w:r>
        <w:t>培训服务：基础培训 1 天、教学培训 1-4 天、认证培训 5-10 天</w:t>
        <w:br/>
        <w:t>运维服务：电话咨询即时响应、远程支持≤30 分钟、现场服务≤4 小时</w:t>
        <w:br/>
        <w:t>内容更新：季度常规更新、重大节日专题更新</w:t>
      </w:r>
    </w:p>
    <w:p>
      <w:pPr>
        <w:pStyle w:val="Heading2"/>
      </w:pPr>
      <w:r>
        <w:t>8.3 质量保证</w:t>
      </w:r>
    </w:p>
    <w:p>
      <w:r>
        <w:t>硬件设备质保 2 年、软件系统质保 1 年、装修工程质保 1 年</w:t>
        <w:br/>
        <w:t>系统可用性≥99%、故障响应≤30 分钟、故障解决≤24 小时</w:t>
      </w:r>
    </w:p>
    <w:p>
      <w:r>
        <w:br w:type="page"/>
      </w:r>
    </w:p>
    <w:p>
      <w:pPr>
        <w:pStyle w:val="Heading1"/>
      </w:pPr>
      <w:r>
        <w:t>9. 常见问题 FAQ</w:t>
      </w:r>
    </w:p>
    <w:p>
      <w:r>
        <w:rPr>
          <w:b/>
        </w:rPr>
        <w:t>Q1：VR 设备会不会让学生头晕？</w:t>
      </w:r>
    </w:p>
    <w:p>
      <w:r>
        <w:t>A：选用 PICO 4 Enterprise 高分辨率高刷新率，95% 以上学生无眩晕感。</w:t>
      </w:r>
    </w:p>
    <w:p>
      <w:r>
        <w:rPr>
          <w:b/>
        </w:rPr>
        <w:t>Q2：网络条件要求高吗？</w:t>
      </w:r>
    </w:p>
    <w:p>
      <w:r>
        <w:t>A：本地内容无需网络，建议带宽≥100Mbps，提供离线内容包。</w:t>
      </w:r>
    </w:p>
    <w:p>
      <w:r>
        <w:rPr>
          <w:b/>
        </w:rPr>
        <w:t>Q3：教师没有 VR 经验怎么办？</w:t>
      </w:r>
    </w:p>
    <w:p>
      <w:r>
        <w:t>A：提供系统化培训，2 天培训即可独立开展 VR 教学。</w:t>
      </w:r>
    </w:p>
    <w:p>
      <w:r>
        <w:rPr>
          <w:b/>
        </w:rPr>
        <w:t>Q4：投资是一次性还是分期？</w:t>
      </w:r>
    </w:p>
    <w:p>
      <w:r>
        <w:t>A：支持一次性付款和分期付款，分期通常为 30% 首付 +40% 交付 +30% 验收。</w:t>
      </w:r>
    </w:p>
    <w:p>
      <w:r>
        <w:rPr>
          <w:b/>
        </w:rPr>
        <w:t>Q5：能否申请政府专项资金？</w:t>
      </w:r>
    </w:p>
    <w:p>
      <w:r>
        <w:t>A：可以，提供全套申报材料支持，可申报 20-200 万元不等专项资金。</w:t>
      </w:r>
    </w:p>
    <w:p>
      <w:r>
        <w:br w:type="page"/>
      </w:r>
    </w:p>
    <w:p>
      <w:pPr>
        <w:pStyle w:val="Heading1"/>
      </w:pPr>
      <w:r>
        <w:t>10. 附录</w:t>
      </w:r>
    </w:p>
    <w:p>
      <w:pPr>
        <w:pStyle w:val="Heading2"/>
      </w:pPr>
      <w:r>
        <w:t>10.1 合同模板（摘要）</w:t>
      </w:r>
    </w:p>
    <w:p>
      <w:r>
        <w:t>合作协议包含：合作内容、投资金额、交付周期、服务期限、双方权利义务、违约责任、争议解决等条款。</w:t>
      </w:r>
    </w:p>
    <w:p>
      <w:pPr>
        <w:pStyle w:val="Heading2"/>
      </w:pPr>
      <w:r>
        <w:t>10.2 设备清单（标配方案）</w:t>
      </w:r>
    </w:p>
    <w:p>
      <w:r>
        <w:t>VR 一体机 20 台、管理主机 1 台、显示设备 2 台、充电存储柜 1 台、网络设备 1 套等，硬件设备成本合计 20.9 万元。</w:t>
      </w:r>
    </w:p>
    <w:p>
      <w:pPr>
        <w:pStyle w:val="Heading2"/>
      </w:pPr>
      <w:r>
        <w:t>10.3 课程内容目录</w:t>
      </w:r>
    </w:p>
    <w:p>
      <w:pPr>
        <w:pStyle w:val="ListBullet"/>
      </w:pPr>
      <w:r>
        <w:t>党史教育：《长征路上的抉择》《开国大典》《改革开放春潮》等</w:t>
      </w:r>
    </w:p>
    <w:p>
      <w:pPr>
        <w:pStyle w:val="ListBullet"/>
      </w:pPr>
      <w:r>
        <w:t>国情教育：《脱贫攻坚伟大成就》《大国重器》等</w:t>
      </w:r>
    </w:p>
    <w:p>
      <w:pPr>
        <w:pStyle w:val="ListBullet"/>
      </w:pPr>
      <w:r>
        <w:t>红色文化：《井冈山精神》《延安岁月》《西柏坡赶考》等</w:t>
      </w:r>
    </w:p>
    <w:p>
      <w:pPr>
        <w:pStyle w:val="ListBullet"/>
      </w:pPr>
      <w:r>
        <w:t>价值观教育：《榜样的力量》《青春告白祖国》等</w:t>
      </w:r>
    </w:p>
    <w:p>
      <w:pPr>
        <w:pStyle w:val="ListBullet"/>
      </w:pPr>
      <w:r>
        <w:t>校史教育：《桂林学院发展史》（可定制）</w:t>
      </w:r>
    </w:p>
    <w:p>
      <w:pPr>
        <w:pStyle w:val="ListBullet"/>
      </w:pPr>
      <w:r>
        <w:t>实践实训：《思政微课演练》《演讲比赛模拟》等</w:t>
      </w:r>
    </w:p>
    <w:p/>
    <w:p>
      <w:pPr>
        <w:jc w:val="center"/>
      </w:pPr>
      <w:r>
        <w:rPr>
          <w:b/>
        </w:rPr>
        <w:t>编制单位：[公司名称]</w:t>
        <w:br/>
      </w:r>
      <w:r>
        <w:t>编制日期：2026 年 4 月</w:t>
        <w:br/>
      </w:r>
      <w:r>
        <w:rPr>
          <w:i/>
        </w:rPr>
        <w:t>本方案版权归 [公司名称] 所有，未经许可不得外传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