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合作协议修改说明清单</w:t>
      </w:r>
    </w:p>
    <w:p/>
    <w:p>
      <w:r>
        <w:rPr>
          <w:color w:val="000000"/>
        </w:rPr>
        <w:t>本文档列出了合作协议中所有用红色字体标注的修改内容，便于快速识别和审阅。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修改后内容</w:t>
            </w:r>
          </w:p>
        </w:tc>
      </w:tr>
      <w:tr>
        <w:tc>
          <w:tcPr>
            <w:tcW w:type="dxa" w:w="2160"/>
          </w:tcPr>
          <w:p>
            <w:r>
              <w:t>第二条 2.2(3)</w:t>
            </w:r>
          </w:p>
        </w:tc>
        <w:tc>
          <w:tcPr>
            <w:tcW w:type="dxa" w:w="2160"/>
          </w:tcPr>
          <w:p>
            <w:r>
              <w:t>响应时间</w:t>
            </w:r>
          </w:p>
        </w:tc>
        <w:tc>
          <w:tcPr>
            <w:tcW w:type="dxa" w:w="2160"/>
          </w:tcPr>
          <w:p>
            <w:r>
              <w:t>48 小时</w:t>
            </w:r>
          </w:p>
        </w:tc>
        <w:tc>
          <w:tcPr>
            <w:tcW w:type="dxa" w:w="2160"/>
          </w:tcPr>
          <w:p>
            <w:r>
              <w:t>24 小时</w:t>
            </w:r>
          </w:p>
        </w:tc>
      </w:tr>
      <w:tr>
        <w:tc>
          <w:tcPr>
            <w:tcW w:type="dxa" w:w="2160"/>
          </w:tcPr>
          <w:p>
            <w:r>
              <w:t>第三条 3.2(2)</w:t>
            </w:r>
          </w:p>
        </w:tc>
        <w:tc>
          <w:tcPr>
            <w:tcW w:type="dxa" w:w="2160"/>
          </w:tcPr>
          <w:p>
            <w:r>
              <w:t>付款周期</w:t>
            </w:r>
          </w:p>
        </w:tc>
        <w:tc>
          <w:tcPr>
            <w:tcW w:type="dxa" w:w="2160"/>
          </w:tcPr>
          <w:p>
            <w:r>
              <w:t>30 天</w:t>
            </w:r>
          </w:p>
        </w:tc>
        <w:tc>
          <w:tcPr>
            <w:tcW w:type="dxa" w:w="2160"/>
          </w:tcPr>
          <w:p>
            <w:r>
              <w:t>15 个工作日</w:t>
            </w:r>
          </w:p>
        </w:tc>
      </w:tr>
      <w:tr>
        <w:tc>
          <w:tcPr>
            <w:tcW w:type="dxa" w:w="2160"/>
          </w:tcPr>
          <w:p>
            <w:r>
              <w:t>第四条 4.1</w:t>
            </w:r>
          </w:p>
        </w:tc>
        <w:tc>
          <w:tcPr>
            <w:tcW w:type="dxa" w:w="2160"/>
          </w:tcPr>
          <w:p>
            <w:r>
              <w:t>知识产权归属</w:t>
            </w:r>
          </w:p>
        </w:tc>
        <w:tc>
          <w:tcPr>
            <w:tcW w:type="dxa" w:w="2160"/>
          </w:tcPr>
          <w:p>
            <w:r>
              <w:t>双方共有</w:t>
            </w:r>
          </w:p>
        </w:tc>
        <w:tc>
          <w:tcPr>
            <w:tcW w:type="dxa" w:w="2160"/>
          </w:tcPr>
          <w:p>
            <w:r>
              <w:t>归甲方所有</w:t>
            </w:r>
          </w:p>
        </w:tc>
      </w:tr>
      <w:tr>
        <w:tc>
          <w:tcPr>
            <w:tcW w:type="dxa" w:w="2160"/>
          </w:tcPr>
          <w:p>
            <w:r>
              <w:t>第五条 5.2</w:t>
            </w:r>
          </w:p>
        </w:tc>
        <w:tc>
          <w:tcPr>
            <w:tcW w:type="dxa" w:w="2160"/>
          </w:tcPr>
          <w:p>
            <w:r>
              <w:t>保密期限</w:t>
            </w:r>
          </w:p>
        </w:tc>
        <w:tc>
          <w:tcPr>
            <w:tcW w:type="dxa" w:w="2160"/>
          </w:tcPr>
          <w:p>
            <w:r>
              <w:t>2 年</w:t>
            </w:r>
          </w:p>
        </w:tc>
        <w:tc>
          <w:tcPr>
            <w:tcW w:type="dxa" w:w="2160"/>
          </w:tcPr>
          <w:p>
            <w:r>
              <w:t>5 年</w:t>
            </w:r>
          </w:p>
        </w:tc>
      </w:tr>
      <w:tr>
        <w:tc>
          <w:tcPr>
            <w:tcW w:type="dxa" w:w="2160"/>
          </w:tcPr>
          <w:p>
            <w:r>
              <w:t>第六条 6.2(3)</w:t>
            </w:r>
          </w:p>
        </w:tc>
        <w:tc>
          <w:tcPr>
            <w:tcW w:type="dxa" w:w="2160"/>
          </w:tcPr>
          <w:p>
            <w:r>
              <w:t>违约金比例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第七条 7.2</w:t>
            </w:r>
          </w:p>
        </w:tc>
        <w:tc>
          <w:tcPr>
            <w:tcW w:type="dxa" w:w="2160"/>
          </w:tcPr>
          <w:p>
            <w:r>
              <w:t>争议解决管辖</w:t>
            </w:r>
          </w:p>
        </w:tc>
        <w:tc>
          <w:tcPr>
            <w:tcW w:type="dxa" w:w="2160"/>
          </w:tcPr>
          <w:p>
            <w:r>
              <w:t>乙方所在地法院</w:t>
            </w:r>
          </w:p>
        </w:tc>
        <w:tc>
          <w:tcPr>
            <w:tcW w:type="dxa" w:w="2160"/>
          </w:tcPr>
          <w:p>
            <w:r>
              <w:t>甲方所在地法院</w:t>
            </w:r>
          </w:p>
        </w:tc>
      </w:tr>
    </w:tbl>
    <w:p/>
    <w:p>
      <w:r>
        <w:rPr>
          <w:i/>
          <w:color w:val="000000"/>
        </w:rPr>
        <w:t>备注：以上修改均为保护甲方权益的重要条款，建议重点审阅。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