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6E7D9">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关于盘活旧台资产建设“AI+XR科技思政沉浸空间与数智创研中心”的实施方案</w:t>
      </w:r>
    </w:p>
    <w:p w14:paraId="501F907C">
      <w:pPr>
        <w:keepNext w:val="0"/>
        <w:keepLines w:val="0"/>
        <w:pageBreakBefore w:val="0"/>
        <w:widowControl w:val="0"/>
        <w:kinsoku/>
        <w:wordWrap/>
        <w:overflowPunct/>
        <w:topLinePunct w:val="0"/>
        <w:autoSpaceDE/>
        <w:autoSpaceDN/>
        <w:bidi w:val="0"/>
        <w:adjustRightInd/>
        <w:snapToGrid/>
        <w:spacing w:line="700" w:lineRule="exact"/>
        <w:jc w:val="both"/>
        <w:textAlignment w:val="auto"/>
        <w:rPr>
          <w:rFonts w:hint="eastAsia" w:ascii="方正小标宋简体" w:hAnsi="方正小标宋简体" w:eastAsia="方正小标宋简体" w:cs="方正小标宋简体"/>
          <w:sz w:val="44"/>
          <w:szCs w:val="44"/>
          <w:lang w:val="en-US" w:eastAsia="zh-CN"/>
        </w:rPr>
      </w:pPr>
    </w:p>
    <w:p w14:paraId="365C82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深入贯彻落实国家关于数字经济发展与思想政治教育创新改革的战略部署，充分利用我台旧台闲置资产，抢占数字化宣传高地，现拟定在旧台部署“文旅+科技+思政”XR沉浸式空间与数智内容创研中心项目。本项目紧扣国家科技战略导向，依托官方媒体背书与地方特色资源，力求打造集权威性、创新性于一体的全国数字化思政教育示范工程。</w:t>
      </w:r>
    </w:p>
    <w:p w14:paraId="1D6970B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一、项目背景与战略定位</w:t>
      </w:r>
    </w:p>
    <w:p w14:paraId="3FE0A5E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本项目通过对旧台闲置体育馆进行功能化重塑，构建集思政教育、科技体验、科普实训、文化传播于一体的现代化平台。</w:t>
      </w:r>
    </w:p>
    <w:p w14:paraId="149F7C9F">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（一）盘活闲置资源。</w:t>
      </w:r>
      <w:r>
        <w:rPr>
          <w:rFonts w:hint="eastAsia" w:ascii="仿宋_GB2312" w:hAnsi="仿宋_GB2312" w:eastAsia="仿宋_GB2312" w:cs="仿宋_GB2312"/>
          <w:sz w:val="32"/>
          <w:szCs w:val="32"/>
          <w:lang w:val="en-US" w:eastAsia="zh-CN"/>
        </w:rPr>
        <w:t>将目前无水电暖、长期闲置的旧台体育馆转化为台内数字化转型的“窗口工程”。</w:t>
      </w:r>
    </w:p>
    <w:p w14:paraId="1962A2F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（二）重大节点宣发。</w:t>
      </w:r>
      <w:r>
        <w:rPr>
          <w:rFonts w:hint="eastAsia" w:ascii="仿宋_GB2312" w:hAnsi="仿宋_GB2312" w:eastAsia="仿宋_GB2312" w:cs="仿宋_GB2312"/>
          <w:sz w:val="32"/>
          <w:szCs w:val="32"/>
          <w:lang w:val="en-US" w:eastAsia="zh-CN"/>
        </w:rPr>
        <w:t>以长征胜利九十周年为契机，利用国家级技术背书，提升我台思政教育的社会效益与经济效益。</w:t>
      </w:r>
    </w:p>
    <w:p w14:paraId="15E95D0C">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（三）研发引擎建设。</w:t>
      </w:r>
      <w:r>
        <w:rPr>
          <w:rFonts w:hint="eastAsia" w:ascii="仿宋_GB2312" w:hAnsi="仿宋_GB2312" w:eastAsia="仿宋_GB2312" w:cs="仿宋_GB2312"/>
          <w:sz w:val="32"/>
          <w:szCs w:val="32"/>
          <w:lang w:val="en-US" w:eastAsia="zh-CN"/>
        </w:rPr>
        <w:t>设立数智内容创研中心，通过“引、建、研”三步走战略，实现从“内容引进”到“内容输出”的战略转型。</w:t>
      </w:r>
    </w:p>
    <w:p w14:paraId="5D7D0F5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二、场馆基础改造方案</w:t>
      </w:r>
    </w:p>
    <w:p w14:paraId="53D70246">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（一）</w:t>
      </w:r>
      <w:r>
        <w:rPr>
          <w:rFonts w:hint="default" w:ascii="楷体_GB2312" w:hAnsi="楷体_GB2312" w:eastAsia="楷体_GB2312" w:cs="楷体_GB2312"/>
          <w:b/>
          <w:bCs/>
          <w:sz w:val="32"/>
          <w:szCs w:val="32"/>
          <w:lang w:val="en-US" w:eastAsia="zh-CN"/>
        </w:rPr>
        <w:t>能源系统重构</w:t>
      </w:r>
      <w:r>
        <w:rPr>
          <w:rFonts w:hint="eastAsia" w:ascii="楷体_GB2312" w:hAnsi="楷体_GB2312" w:eastAsia="楷体_GB2312" w:cs="楷体_GB2312"/>
          <w:b/>
          <w:bCs/>
          <w:sz w:val="32"/>
          <w:szCs w:val="32"/>
          <w:lang w:val="en-US" w:eastAsia="zh-CN"/>
        </w:rPr>
        <w:t>。</w:t>
      </w:r>
      <w:r>
        <w:rPr>
          <w:rFonts w:hint="default" w:ascii="仿宋_GB2312" w:hAnsi="仿宋_GB2312" w:eastAsia="仿宋_GB2312" w:cs="仿宋_GB2312"/>
          <w:sz w:val="32"/>
          <w:szCs w:val="32"/>
          <w:lang w:val="en-US" w:eastAsia="zh-CN"/>
        </w:rPr>
        <w:t>全面重新铺设供水、供电、供暖管网，确保满足大容量XR设备运行与人员长期驻留的能源需求。</w:t>
      </w:r>
    </w:p>
    <w:p w14:paraId="3E24C296">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（二）</w:t>
      </w:r>
      <w:r>
        <w:rPr>
          <w:rFonts w:hint="default" w:ascii="楷体_GB2312" w:hAnsi="楷体_GB2312" w:eastAsia="楷体_GB2312" w:cs="楷体_GB2312"/>
          <w:b/>
          <w:bCs/>
          <w:sz w:val="32"/>
          <w:szCs w:val="32"/>
          <w:lang w:val="en-US" w:eastAsia="zh-CN"/>
        </w:rPr>
        <w:t>空间功能分割</w:t>
      </w:r>
      <w:r>
        <w:rPr>
          <w:rFonts w:hint="eastAsia" w:ascii="楷体_GB2312" w:hAnsi="楷体_GB2312" w:eastAsia="楷体_GB2312" w:cs="楷体_GB2312"/>
          <w:b/>
          <w:bCs/>
          <w:sz w:val="32"/>
          <w:szCs w:val="32"/>
          <w:lang w:val="en-US" w:eastAsia="zh-CN"/>
        </w:rPr>
        <w:t>。</w:t>
      </w:r>
      <w:r>
        <w:rPr>
          <w:rFonts w:hint="default" w:ascii="仿宋_GB2312" w:hAnsi="仿宋_GB2312" w:eastAsia="仿宋_GB2312" w:cs="仿宋_GB2312"/>
          <w:sz w:val="32"/>
          <w:szCs w:val="32"/>
          <w:lang w:val="en-US" w:eastAsia="zh-CN"/>
        </w:rPr>
        <w:t>针对体育馆高大开阔的特点，进行声学隔音与恒温恒湿环境控制，确保精密科技设备的稳定与视听体验质量。</w:t>
      </w:r>
    </w:p>
    <w:p w14:paraId="4A711724">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（三）</w:t>
      </w:r>
      <w:r>
        <w:rPr>
          <w:rFonts w:hint="default" w:ascii="楷体_GB2312" w:hAnsi="楷体_GB2312" w:eastAsia="楷体_GB2312" w:cs="楷体_GB2312"/>
          <w:b/>
          <w:bCs/>
          <w:sz w:val="32"/>
          <w:szCs w:val="32"/>
          <w:lang w:val="en-US" w:eastAsia="zh-CN"/>
        </w:rPr>
        <w:t>算力底座布线</w:t>
      </w:r>
      <w:r>
        <w:rPr>
          <w:rFonts w:hint="eastAsia" w:ascii="楷体_GB2312" w:hAnsi="楷体_GB2312" w:eastAsia="楷体_GB2312" w:cs="楷体_GB2312"/>
          <w:b/>
          <w:bCs/>
          <w:sz w:val="32"/>
          <w:szCs w:val="32"/>
          <w:lang w:val="en-US" w:eastAsia="zh-CN"/>
        </w:rPr>
        <w:t>。</w:t>
      </w:r>
      <w:r>
        <w:rPr>
          <w:rFonts w:hint="default" w:ascii="仿宋_GB2312" w:hAnsi="仿宋_GB2312" w:eastAsia="仿宋_GB2312" w:cs="仿宋_GB2312"/>
          <w:sz w:val="32"/>
          <w:szCs w:val="32"/>
          <w:lang w:val="en-US" w:eastAsia="zh-CN"/>
        </w:rPr>
        <w:t>全馆覆盖高速网络，预留充足的算力服务器接口，构建支持AI智能体运行的硬件支撑体系。</w:t>
      </w:r>
    </w:p>
    <w:p w14:paraId="39F2AB1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三、核心建设内容</w:t>
      </w:r>
    </w:p>
    <w:p w14:paraId="0A7CB6D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拟采取零版权费合作引进模式，我方无需支付版权相关费用，与发行方实行按客流分账、利益共担的合作机制。具体结算标准为：发行方每张门票收取15元。</w:t>
      </w:r>
    </w:p>
    <w:p w14:paraId="3642509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楷体_GB2312" w:hAnsi="楷体_GB2312" w:eastAsia="楷体_GB2312" w:cs="楷体_GB2312"/>
          <w:b/>
          <w:bCs/>
          <w:sz w:val="32"/>
          <w:szCs w:val="32"/>
          <w:lang w:val="en-US" w:eastAsia="zh-CN"/>
        </w:rPr>
      </w:pPr>
      <w:r>
        <w:rPr>
          <w:rFonts w:hint="default" w:ascii="楷体_GB2312" w:hAnsi="楷体_GB2312" w:eastAsia="楷体_GB2312" w:cs="楷体_GB2312"/>
          <w:b/>
          <w:bCs/>
          <w:sz w:val="32"/>
          <w:szCs w:val="32"/>
          <w:lang w:val="en-US" w:eastAsia="zh-CN"/>
        </w:rPr>
        <w:t>(一)XR科技思政展示区(对外窗口)</w:t>
      </w:r>
    </w:p>
    <w:p w14:paraId="67BDCF5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1.长征胜利九十周年主题厅:引入</w:t>
      </w:r>
      <w:r>
        <w:rPr>
          <w:rFonts w:hint="eastAsia" w:ascii="仿宋_GB2312" w:hAnsi="仿宋_GB2312" w:eastAsia="仿宋_GB2312" w:cs="仿宋_GB2312"/>
          <w:sz w:val="32"/>
          <w:szCs w:val="32"/>
          <w:lang w:val="en-US" w:eastAsia="zh-CN"/>
        </w:rPr>
        <w:t>多家红色主题XR影片</w:t>
      </w:r>
      <w:r>
        <w:rPr>
          <w:rFonts w:hint="default" w:ascii="仿宋_GB2312" w:hAnsi="仿宋_GB2312" w:eastAsia="仿宋_GB2312" w:cs="仿宋_GB2312"/>
          <w:sz w:val="32"/>
          <w:szCs w:val="32"/>
          <w:lang w:val="en-US" w:eastAsia="zh-CN"/>
        </w:rPr>
        <w:t>，利用AI技术复原历史细节，打造身临其境的视觉震撼。</w:t>
      </w:r>
    </w:p>
    <w:p w14:paraId="0449853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.数智化交互中心:</w:t>
      </w:r>
      <w:r>
        <w:rPr>
          <w:rFonts w:hint="eastAsia" w:ascii="仿宋_GB2312" w:hAnsi="仿宋_GB2312" w:eastAsia="仿宋_GB2312" w:cs="仿宋_GB2312"/>
          <w:sz w:val="32"/>
          <w:szCs w:val="32"/>
          <w:lang w:val="en-US" w:eastAsia="zh-CN"/>
        </w:rPr>
        <w:t>布置文旅、科技题材XR影片，</w:t>
      </w:r>
      <w:r>
        <w:rPr>
          <w:rFonts w:hint="default" w:ascii="仿宋_GB2312" w:hAnsi="仿宋_GB2312" w:eastAsia="仿宋_GB2312" w:cs="仿宋_GB2312"/>
          <w:sz w:val="32"/>
          <w:szCs w:val="32"/>
          <w:lang w:val="en-US" w:eastAsia="zh-CN"/>
        </w:rPr>
        <w:t>设置定制化虚拟数字人导览，展示具有地域辨</w:t>
      </w:r>
      <w:bookmarkStart w:id="0" w:name="_GoBack"/>
      <w:bookmarkEnd w:id="0"/>
      <w:r>
        <w:rPr>
          <w:rFonts w:hint="default" w:ascii="仿宋_GB2312" w:hAnsi="仿宋_GB2312" w:eastAsia="仿宋_GB2312" w:cs="仿宋_GB2312"/>
          <w:sz w:val="32"/>
          <w:szCs w:val="32"/>
          <w:lang w:val="en-US" w:eastAsia="zh-CN"/>
        </w:rPr>
        <w:t>识度和文化特色的IP形象，将思政教育从“被动接受</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转变为“主动探索”。</w:t>
      </w:r>
    </w:p>
    <w:p w14:paraId="1E1FCA67">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楷体_GB2312" w:hAnsi="楷体_GB2312" w:eastAsia="楷体_GB2312" w:cs="楷体_GB2312"/>
          <w:b/>
          <w:bCs/>
          <w:sz w:val="32"/>
          <w:szCs w:val="32"/>
          <w:lang w:val="en-US" w:eastAsia="zh-CN"/>
        </w:rPr>
      </w:pPr>
      <w:r>
        <w:rPr>
          <w:rFonts w:hint="default" w:ascii="楷体_GB2312" w:hAnsi="楷体_GB2312" w:eastAsia="楷体_GB2312" w:cs="楷体_GB2312"/>
          <w:b/>
          <w:bCs/>
          <w:sz w:val="32"/>
          <w:szCs w:val="32"/>
          <w:lang w:val="en-US" w:eastAsia="zh-CN"/>
        </w:rPr>
        <w:t>（二）AI自主研发实验室（研发引擎）</w:t>
      </w:r>
    </w:p>
    <w:p w14:paraId="1D57708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作为本台未来数字内容生产的核心中枢，实验室承载着关键技术攻关、自主IP孵化及全产业链研发职能，实现从“内容引进”到“自主输出”的战略转型。</w:t>
      </w:r>
    </w:p>
    <w:p w14:paraId="3F07C57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高品质本地化XR影片创作研究</w:t>
      </w:r>
    </w:p>
    <w:p w14:paraId="1BDAC8A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专项研发</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重点针对2027年内蒙古自治区成立80周年，具有本地强IP属性的XR沉浸式影片研发，实现内容生产的完全自主化。</w:t>
      </w:r>
    </w:p>
    <w:p w14:paraId="59A84B2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多维叙事探索：研究如何将内蒙古特色文化元素与XR空间音频、全景视觉技术深度融合，打造具备全国竞争力的数字化文创标杆。</w:t>
      </w:r>
    </w:p>
    <w:p w14:paraId="461B38B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3D资产数字化与智能制造研究</w:t>
      </w:r>
    </w:p>
    <w:p w14:paraId="51EAD9F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高精</w:t>
      </w:r>
      <w:r>
        <w:rPr>
          <w:rFonts w:hint="eastAsia" w:ascii="仿宋_GB2312" w:hAnsi="仿宋_GB2312" w:eastAsia="仿宋_GB2312" w:cs="仿宋_GB2312"/>
          <w:sz w:val="32"/>
          <w:szCs w:val="32"/>
          <w:lang w:val="en-US" w:eastAsia="zh-CN"/>
        </w:rPr>
        <w:t>度数字</w:t>
      </w:r>
      <w:r>
        <w:rPr>
          <w:rFonts w:hint="default" w:ascii="仿宋_GB2312" w:hAnsi="仿宋_GB2312" w:eastAsia="仿宋_GB2312" w:cs="仿宋_GB2312"/>
          <w:sz w:val="32"/>
          <w:szCs w:val="32"/>
          <w:lang w:val="en-US" w:eastAsia="zh-CN"/>
        </w:rPr>
        <w:t>孪生与文化活化：采用“LiDAR+3DGS”（激光雷达+高斯泼溅）前沿技术组合，打破传统建模效率瓶颈，精准捕捉文化遗产的细微纹理与空间光效。本项目致力于打造内蒙古特色文化遗产的“数字档案馆”，为全景思政教育注入极致视听震撼。</w:t>
      </w:r>
    </w:p>
    <w:p w14:paraId="47CC530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楷体_GB2312" w:hAnsi="楷体_GB2312" w:eastAsia="楷体_GB2312" w:cs="楷体_GB2312"/>
          <w:b/>
          <w:bCs/>
          <w:sz w:val="32"/>
          <w:szCs w:val="32"/>
          <w:lang w:val="en-US" w:eastAsia="zh-CN"/>
        </w:rPr>
      </w:pPr>
      <w:r>
        <w:rPr>
          <w:rFonts w:hint="eastAsia" w:ascii="黑体" w:hAnsi="黑体" w:eastAsia="黑体" w:cs="黑体"/>
          <w:sz w:val="32"/>
          <w:szCs w:val="32"/>
          <w:lang w:val="en-US" w:eastAsia="zh-CN"/>
        </w:rPr>
        <w:t>四</w:t>
      </w:r>
      <w:r>
        <w:rPr>
          <w:rFonts w:hint="default" w:ascii="黑体" w:hAnsi="黑体" w:eastAsia="黑体" w:cs="黑体"/>
          <w:sz w:val="32"/>
          <w:szCs w:val="32"/>
          <w:lang w:val="en-US" w:eastAsia="zh-CN"/>
        </w:rPr>
        <w:t>、实施规划</w:t>
      </w:r>
    </w:p>
    <w:p w14:paraId="2B532FFD">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楷体_GB2312" w:hAnsi="楷体_GB2312" w:eastAsia="楷体_GB2312" w:cs="楷体_GB2312"/>
          <w:b/>
          <w:bCs/>
          <w:sz w:val="32"/>
          <w:szCs w:val="32"/>
          <w:lang w:val="en-US" w:eastAsia="zh-CN"/>
        </w:rPr>
      </w:pPr>
      <w:r>
        <w:rPr>
          <w:rFonts w:hint="eastAsia" w:ascii="楷体_GB2312" w:hAnsi="楷体_GB2312" w:eastAsia="楷体_GB2312" w:cs="楷体_GB2312"/>
          <w:b/>
          <w:bCs/>
          <w:sz w:val="32"/>
          <w:szCs w:val="32"/>
          <w:lang w:val="en-US" w:eastAsia="zh-CN"/>
        </w:rPr>
        <w:t>（一）</w:t>
      </w:r>
      <w:r>
        <w:rPr>
          <w:rFonts w:hint="default" w:ascii="楷体_GB2312" w:hAnsi="楷体_GB2312" w:eastAsia="楷体_GB2312" w:cs="楷体_GB2312"/>
          <w:b/>
          <w:bCs/>
          <w:sz w:val="32"/>
          <w:szCs w:val="32"/>
          <w:lang w:val="en-US" w:eastAsia="zh-CN"/>
        </w:rPr>
        <w:t>实施步骤规划</w:t>
      </w:r>
    </w:p>
    <w:p w14:paraId="01B859D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筹备阶段:完成旧台体育馆方案细化与基础设施复原。</w:t>
      </w:r>
    </w:p>
    <w:p w14:paraId="1AA86DF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建设阶段:完成核心系统开发、基础设施搭建与</w:t>
      </w:r>
      <w:r>
        <w:rPr>
          <w:rFonts w:hint="eastAsia" w:ascii="仿宋_GB2312" w:hAnsi="仿宋_GB2312" w:eastAsia="仿宋_GB2312" w:cs="仿宋_GB2312"/>
          <w:sz w:val="32"/>
          <w:szCs w:val="32"/>
          <w:lang w:val="en-US" w:eastAsia="zh-CN"/>
        </w:rPr>
        <w:t>数智内容创研中心</w:t>
      </w:r>
      <w:r>
        <w:rPr>
          <w:rFonts w:hint="default" w:ascii="仿宋_GB2312" w:hAnsi="仿宋_GB2312" w:eastAsia="仿宋_GB2312" w:cs="仿宋_GB2312"/>
          <w:sz w:val="32"/>
          <w:szCs w:val="32"/>
          <w:lang w:val="en-US" w:eastAsia="zh-CN"/>
        </w:rPr>
        <w:t>设备部署。</w:t>
      </w:r>
    </w:p>
    <w:p w14:paraId="4262515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运营迭代:全渠道上线运营，并根据重大节点持续迭代优化自主研发内容。</w:t>
      </w:r>
    </w:p>
    <w:p w14:paraId="63AD95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五</w:t>
      </w:r>
      <w:r>
        <w:rPr>
          <w:rFonts w:hint="default" w:ascii="黑体" w:hAnsi="黑体" w:eastAsia="黑体" w:cs="黑体"/>
          <w:sz w:val="32"/>
          <w:szCs w:val="32"/>
          <w:lang w:val="en-US" w:eastAsia="zh-CN"/>
        </w:rPr>
        <w:t>、结论</w:t>
      </w:r>
    </w:p>
    <w:p w14:paraId="6340635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本项目方案相较于传统模式，具备财务风险低、政治背书强、后续扩展性好的核心优势。建议尽快启动旧台体育馆的基建评估与改造工作，以长征胜利九十周年为切入点，抢占数字化宣传高地，实现社会影响力与经营效益的深度融合。</w:t>
      </w:r>
    </w:p>
    <w:sectPr>
      <w:footerReference r:id="rId3" w:type="default"/>
      <w:pgSz w:w="11906" w:h="16838"/>
      <w:pgMar w:top="2098" w:right="1474" w:bottom="1871"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7A71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479C1">
                          <w:pPr>
                            <w:pStyle w:val="2"/>
                            <w:rPr>
                              <w:rFonts w:hint="eastAsia" w:ascii="仿宋" w:hAnsi="仿宋" w:eastAsia="仿宋" w:cs="仿宋"/>
                              <w:sz w:val="28"/>
                              <w:szCs w:val="28"/>
                              <w:vertAlign w:val="baseline"/>
                            </w:rPr>
                          </w:pPr>
                          <w:r>
                            <w:rPr>
                              <w:rFonts w:hint="eastAsia" w:ascii="仿宋" w:hAnsi="仿宋" w:eastAsia="仿宋" w:cs="仿宋"/>
                              <w:sz w:val="28"/>
                              <w:szCs w:val="28"/>
                              <w:vertAlign w:val="baseline"/>
                            </w:rPr>
                            <w:fldChar w:fldCharType="begin"/>
                          </w:r>
                          <w:r>
                            <w:rPr>
                              <w:rFonts w:hint="eastAsia" w:ascii="仿宋" w:hAnsi="仿宋" w:eastAsia="仿宋" w:cs="仿宋"/>
                              <w:sz w:val="28"/>
                              <w:szCs w:val="28"/>
                              <w:vertAlign w:val="baseline"/>
                            </w:rPr>
                            <w:instrText xml:space="preserve"> PAGE  \* MERGEFORMAT </w:instrText>
                          </w:r>
                          <w:r>
                            <w:rPr>
                              <w:rFonts w:hint="eastAsia" w:ascii="仿宋" w:hAnsi="仿宋" w:eastAsia="仿宋" w:cs="仿宋"/>
                              <w:sz w:val="28"/>
                              <w:szCs w:val="28"/>
                              <w:vertAlign w:val="baseline"/>
                            </w:rPr>
                            <w:fldChar w:fldCharType="separate"/>
                          </w:r>
                          <w:r>
                            <w:rPr>
                              <w:rFonts w:hint="eastAsia" w:ascii="仿宋" w:hAnsi="仿宋" w:eastAsia="仿宋" w:cs="仿宋"/>
                              <w:sz w:val="28"/>
                              <w:szCs w:val="28"/>
                              <w:vertAlign w:val="baseline"/>
                            </w:rPr>
                            <w:t>1</w:t>
                          </w:r>
                          <w:r>
                            <w:rPr>
                              <w:rFonts w:hint="eastAsia" w:ascii="仿宋" w:hAnsi="仿宋" w:eastAsia="仿宋" w:cs="仿宋"/>
                              <w:sz w:val="28"/>
                              <w:szCs w:val="28"/>
                              <w:vertAlign w:val="baseline"/>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B479C1">
                    <w:pPr>
                      <w:pStyle w:val="2"/>
                      <w:rPr>
                        <w:rFonts w:hint="eastAsia" w:ascii="仿宋" w:hAnsi="仿宋" w:eastAsia="仿宋" w:cs="仿宋"/>
                        <w:sz w:val="28"/>
                        <w:szCs w:val="28"/>
                        <w:vertAlign w:val="baseline"/>
                      </w:rPr>
                    </w:pPr>
                    <w:r>
                      <w:rPr>
                        <w:rFonts w:hint="eastAsia" w:ascii="仿宋" w:hAnsi="仿宋" w:eastAsia="仿宋" w:cs="仿宋"/>
                        <w:sz w:val="28"/>
                        <w:szCs w:val="28"/>
                        <w:vertAlign w:val="baseline"/>
                      </w:rPr>
                      <w:fldChar w:fldCharType="begin"/>
                    </w:r>
                    <w:r>
                      <w:rPr>
                        <w:rFonts w:hint="eastAsia" w:ascii="仿宋" w:hAnsi="仿宋" w:eastAsia="仿宋" w:cs="仿宋"/>
                        <w:sz w:val="28"/>
                        <w:szCs w:val="28"/>
                        <w:vertAlign w:val="baseline"/>
                      </w:rPr>
                      <w:instrText xml:space="preserve"> PAGE  \* MERGEFORMAT </w:instrText>
                    </w:r>
                    <w:r>
                      <w:rPr>
                        <w:rFonts w:hint="eastAsia" w:ascii="仿宋" w:hAnsi="仿宋" w:eastAsia="仿宋" w:cs="仿宋"/>
                        <w:sz w:val="28"/>
                        <w:szCs w:val="28"/>
                        <w:vertAlign w:val="baseline"/>
                      </w:rPr>
                      <w:fldChar w:fldCharType="separate"/>
                    </w:r>
                    <w:r>
                      <w:rPr>
                        <w:rFonts w:hint="eastAsia" w:ascii="仿宋" w:hAnsi="仿宋" w:eastAsia="仿宋" w:cs="仿宋"/>
                        <w:sz w:val="28"/>
                        <w:szCs w:val="28"/>
                        <w:vertAlign w:val="baseline"/>
                      </w:rPr>
                      <w:t>1</w:t>
                    </w:r>
                    <w:r>
                      <w:rPr>
                        <w:rFonts w:hint="eastAsia" w:ascii="仿宋" w:hAnsi="仿宋" w:eastAsia="仿宋" w:cs="仿宋"/>
                        <w:sz w:val="28"/>
                        <w:szCs w:val="28"/>
                        <w:vertAlign w:val="baseline"/>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F3E75"/>
    <w:rsid w:val="160F3425"/>
    <w:rsid w:val="25E73434"/>
    <w:rsid w:val="30300350"/>
    <w:rsid w:val="35B36CAA"/>
    <w:rsid w:val="383760C9"/>
    <w:rsid w:val="55F0353D"/>
    <w:rsid w:val="564366BB"/>
    <w:rsid w:val="5D072AA1"/>
    <w:rsid w:val="629B7F14"/>
    <w:rsid w:val="64B67FE9"/>
    <w:rsid w:val="741F61CA"/>
    <w:rsid w:val="79D81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1653</Words>
  <Characters>1710</Characters>
  <Lines>0</Lines>
  <Paragraphs>0</Paragraphs>
  <TotalTime>373</TotalTime>
  <ScaleCrop>false</ScaleCrop>
  <LinksUpToDate>false</LinksUpToDate>
  <CharactersWithSpaces>1711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2026-03-09T02:14:00Z</dcterms:created>
  <dc:creator>jwl17</dc:creator>
  <cp:lastModifiedBy>大毛驴儿</cp:lastModifiedBy>
  <dcterms:modified xsi:type="dcterms:W3CDTF">2026-04-15T08:42:21Z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eyJoZGlkIjoiNTI0YzExMTVlOWQ3OGY5Y2NhOWVlMGRkNzIxMWZhNzgiLCJ1c2VySWQiOiIyMTYyMTU3MjMifQ==</vt:lpwstr>
  </property>
  <property fmtid="{D5CDD505-2E9C-101B-9397-08002B2CF9AE}" pid="4" name="ICV">
    <vt:lpwstr>2B667C4878774BEB8F99169FACBE4398_13</vt:lpwstr>
  </property>
</Properties>
</file>