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/>
          <w:b/>
          <w:sz w:val="44"/>
        </w:rPr>
        <w:t>关于联合学习强国《长征·英雄》VR 大空间项目</w:t>
        <w:br/>
        <w:t>建设"AI+XR 科技思政沉浸空间与数智创研中心"的</w:t>
        <w:br/>
        <w:t>实施方案</w:t>
      </w:r>
    </w:p>
    <w:p/>
    <w:p/>
    <w:p>
      <w:pPr>
        <w:jc w:val="center"/>
      </w:pPr>
      <w:r>
        <w:rPr>
          <w:rFonts w:ascii="楷体" w:hAnsi="楷体"/>
          <w:sz w:val="28"/>
        </w:rPr>
        <w:t>（台长决策版）</w:t>
      </w:r>
    </w:p>
    <w:p/>
    <w:p/>
    <w:p/>
    <w:p/>
    <w:p/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5669"/>
      </w:tblGrid>
      <w:tr>
        <w:tc>
          <w:tcPr>
            <w:tcW w:type="dxa" w:w="4561"/>
          </w:tcPr>
          <w:p>
            <w:r>
              <w:rPr>
                <w:sz w:val="24"/>
              </w:rPr>
              <w:t>呈报单位：</w:t>
            </w:r>
          </w:p>
        </w:tc>
        <w:tc>
          <w:tcPr>
            <w:tcW w:type="dxa" w:w="4561"/>
          </w:tcPr>
          <w:p>
            <w:r>
              <w:rPr>
                <w:sz w:val="24"/>
              </w:rPr>
              <w:t>融媒体中心</w:t>
            </w:r>
          </w:p>
        </w:tc>
      </w:tr>
      <w:tr>
        <w:tc>
          <w:tcPr>
            <w:tcW w:type="dxa" w:w="4561"/>
          </w:tcPr>
          <w:p>
            <w:r>
              <w:rPr>
                <w:sz w:val="24"/>
              </w:rPr>
              <w:t>呈报日期：</w:t>
            </w:r>
          </w:p>
        </w:tc>
        <w:tc>
          <w:tcPr>
            <w:tcW w:type="dxa" w:w="4561"/>
          </w:tcPr>
          <w:p>
            <w:r>
              <w:rPr>
                <w:sz w:val="24"/>
              </w:rPr>
              <w:t>2026 年 4 月 17 日</w:t>
            </w:r>
          </w:p>
        </w:tc>
      </w:tr>
      <w:tr>
        <w:tc>
          <w:tcPr>
            <w:tcW w:type="dxa" w:w="4561"/>
          </w:tcPr>
          <w:p>
            <w:r>
              <w:rPr>
                <w:sz w:val="24"/>
              </w:rPr>
              <w:t>呈报人：</w:t>
            </w:r>
          </w:p>
        </w:tc>
        <w:tc>
          <w:tcPr>
            <w:tcW w:type="dxa" w:w="4561"/>
          </w:tcPr>
          <w:p>
            <w:r>
              <w:rPr>
                <w:sz w:val="24"/>
              </w:rPr>
              <w:t>强国小马（数字团队总监）</w:t>
            </w:r>
          </w:p>
        </w:tc>
      </w:tr>
      <w:tr>
        <w:tc>
          <w:tcPr>
            <w:tcW w:type="dxa" w:w="4561"/>
          </w:tcPr>
          <w:p>
            <w:r>
              <w:rPr>
                <w:sz w:val="24"/>
              </w:rPr>
              <w:t>联系方式：</w:t>
            </w:r>
          </w:p>
        </w:tc>
        <w:tc>
          <w:tcPr>
            <w:tcW w:type="dxa" w:w="4561"/>
          </w:tcPr>
          <w:p>
            <w:r>
              <w:rPr>
                <w:sz w:val="24"/>
              </w:rPr>
              <w:t>钉钉私信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目  录</w:t>
      </w:r>
    </w:p>
    <w:p>
      <w:pPr>
        <w:spacing w:before="240" w:after="120"/>
      </w:pPr>
      <w:r>
        <w:rPr>
          <w:b/>
          <w:sz w:val="28"/>
        </w:rPr>
        <w:t>一、项目背景与战略定位</w:t>
      </w:r>
    </w:p>
    <w:p>
      <w:pPr>
        <w:spacing w:before="120" w:after="60"/>
        <w:ind w:left="1134"/>
      </w:pPr>
      <w:r>
        <w:rPr>
          <w:sz w:val="24"/>
        </w:rPr>
        <w:t xml:space="preserve">  （一）政策依据</w:t>
      </w:r>
    </w:p>
    <w:p>
      <w:pPr>
        <w:spacing w:before="120" w:after="60"/>
        <w:ind w:left="1134"/>
      </w:pPr>
      <w:r>
        <w:rPr>
          <w:sz w:val="24"/>
        </w:rPr>
        <w:t xml:space="preserve">  （二）对标案例：河南台成功经验</w:t>
      </w:r>
    </w:p>
    <w:p>
      <w:pPr>
        <w:spacing w:before="120" w:after="60"/>
        <w:ind w:left="1134"/>
      </w:pPr>
      <w:r>
        <w:rPr>
          <w:sz w:val="24"/>
        </w:rPr>
        <w:t xml:space="preserve">  （三）合作模式</w:t>
      </w:r>
    </w:p>
    <w:p>
      <w:pPr>
        <w:spacing w:before="240" w:after="120"/>
      </w:pPr>
      <w:r>
        <w:rPr>
          <w:b/>
          <w:sz w:val="28"/>
        </w:rPr>
        <w:t>二、投资估算与资金筹措</w:t>
      </w:r>
    </w:p>
    <w:p>
      <w:pPr>
        <w:spacing w:before="120" w:after="60"/>
        <w:ind w:left="1134"/>
      </w:pPr>
      <w:r>
        <w:rPr>
          <w:sz w:val="24"/>
        </w:rPr>
        <w:t xml:space="preserve">  （一）投资明细</w:t>
      </w:r>
    </w:p>
    <w:p>
      <w:pPr>
        <w:spacing w:before="120" w:after="60"/>
        <w:ind w:left="1134"/>
      </w:pPr>
      <w:r>
        <w:rPr>
          <w:sz w:val="24"/>
        </w:rPr>
        <w:t xml:space="preserve">  （二）资金筹措</w:t>
      </w:r>
    </w:p>
    <w:p>
      <w:pPr>
        <w:spacing w:before="240" w:after="120"/>
      </w:pPr>
      <w:r>
        <w:rPr>
          <w:b/>
          <w:sz w:val="28"/>
        </w:rPr>
        <w:t>三、财务测算与投资回报</w:t>
      </w:r>
    </w:p>
    <w:p>
      <w:pPr>
        <w:spacing w:before="120" w:after="60"/>
        <w:ind w:left="1134"/>
      </w:pPr>
      <w:r>
        <w:rPr>
          <w:sz w:val="24"/>
        </w:rPr>
        <w:t xml:space="preserve">  （一）收入预测</w:t>
      </w:r>
    </w:p>
    <w:p>
      <w:pPr>
        <w:spacing w:before="120" w:after="60"/>
        <w:ind w:left="1134"/>
      </w:pPr>
      <w:r>
        <w:rPr>
          <w:sz w:val="24"/>
        </w:rPr>
        <w:t xml:space="preserve">  （二）成本结构</w:t>
      </w:r>
    </w:p>
    <w:p>
      <w:pPr>
        <w:spacing w:before="120" w:after="60"/>
        <w:ind w:left="1134"/>
      </w:pPr>
      <w:r>
        <w:rPr>
          <w:sz w:val="24"/>
        </w:rPr>
        <w:t xml:space="preserve">  （三）投资回报分析</w:t>
      </w:r>
    </w:p>
    <w:p>
      <w:pPr>
        <w:spacing w:before="240" w:after="120"/>
      </w:pPr>
      <w:r>
        <w:rPr>
          <w:b/>
          <w:sz w:val="28"/>
        </w:rPr>
        <w:t>四、项目实施计划</w:t>
      </w:r>
    </w:p>
    <w:p>
      <w:pPr>
        <w:spacing w:before="120" w:after="60"/>
        <w:ind w:left="1134"/>
      </w:pPr>
      <w:r>
        <w:rPr>
          <w:sz w:val="24"/>
        </w:rPr>
        <w:t xml:space="preserve">  （一）时间节点</w:t>
      </w:r>
    </w:p>
    <w:p>
      <w:pPr>
        <w:spacing w:before="120" w:after="60"/>
        <w:ind w:left="1134"/>
      </w:pPr>
      <w:r>
        <w:rPr>
          <w:sz w:val="24"/>
        </w:rPr>
        <w:t xml:space="preserve">  （二）关键里程碑</w:t>
      </w:r>
    </w:p>
    <w:p>
      <w:pPr>
        <w:spacing w:before="240" w:after="120"/>
      </w:pPr>
      <w:r>
        <w:rPr>
          <w:b/>
          <w:sz w:val="28"/>
        </w:rPr>
        <w:t>五、风险评估与防控措施</w:t>
      </w:r>
    </w:p>
    <w:p>
      <w:pPr>
        <w:spacing w:before="240" w:after="120"/>
      </w:pPr>
      <w:r>
        <w:rPr>
          <w:b/>
          <w:sz w:val="28"/>
        </w:rPr>
        <w:t>六、结论与建议</w:t>
      </w:r>
    </w:p>
    <w:p>
      <w:pPr>
        <w:spacing w:before="240" w:after="120"/>
      </w:pPr>
      <w:r>
        <w:rPr>
          <w:b/>
          <w:sz w:val="28"/>
        </w:rPr>
        <w:t>附件清单</w:t>
      </w:r>
    </w:p>
    <w:p>
      <w:r>
        <w:br w:type="page"/>
      </w:r>
    </w:p>
    <w:p>
      <w:pPr>
        <w:pStyle w:val="Heading1"/>
      </w:pPr>
      <w:r>
        <w:t>一、项目背景与战略定位</w:t>
      </w:r>
    </w:p>
    <w:p>
      <w:pPr>
        <w:pStyle w:val="Heading2"/>
      </w:pPr>
      <w:r>
        <w:t>（一）政策依据</w:t>
      </w:r>
    </w:p>
    <w:p>
      <w:r>
        <w:t>本项目是落实台内 2026 年度实施方案的具体行动，第 18、19、33 条直接支撑：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条款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原文摘要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项目对应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第 18 条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围绕长征胜利 90 周年，以"历史影像 + 现实寻访 + 互动传播"模式传承红色基因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《长征·英雄》VR 大空间体验区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第 19 条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谋划推出内蒙古自治区成立 80 周年宣传项目，高水平站位、高品质策划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AI 自主研发实验室（内蒙 80 周年主题）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第 33 条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组建 XR 技术团队，搭建 XR 演播室，通过外训与实战建立虚拟场景资源库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数智创研中心 + XR 技术团队建设</w:t>
            </w:r>
          </w:p>
        </w:tc>
      </w:tr>
    </w:tbl>
    <w:p/>
    <w:p>
      <w:pPr>
        <w:ind w:left="1134"/>
      </w:pPr>
      <w:r>
        <w:rPr>
          <w:i/>
        </w:rPr>
        <w:t>结论：本项目不是新增项目，是落实台内 2026 年度实施方案的具体行动。</w:t>
      </w:r>
    </w:p>
    <w:p>
      <w:pPr>
        <w:pStyle w:val="Heading2"/>
      </w:pPr>
      <w:r>
        <w:t>（二）对标案例：河南台成功经验</w:t>
      </w:r>
    </w:p>
    <w:p>
      <w:r>
        <w:t>河南电视台《唐宫夜宴》VR 项目已验证模式可行：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sz w:val="20"/>
              </w:rPr>
              <w:t>投入成本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300 万元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年营收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2000 万+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年客流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50 万 + 人次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ROI（3 年）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1:6.7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回本周期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6-8 个月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社会影响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央视报道、文旅部典型案例、全国媒体学习标杆</w:t>
            </w:r>
          </w:p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</w:tbl>
    <w:p/>
    <w:p>
      <w:r>
        <w:rPr>
          <w:b/>
        </w:rPr>
        <w:t>我台对比优势：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jc w:val="center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  <w:sz w:val="20"/>
              </w:rPr>
              <w:t>河南台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  <w:sz w:val="20"/>
              </w:rPr>
              <w:t>我台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  <w:sz w:val="20"/>
              </w:rPr>
              <w:t>优势对比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投入成本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300 万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170 万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✅ 低 43%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回本周期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6-8 个月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4-7 个月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✅ 提前 2-3 个月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ROI（3 年）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1:6.7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1:8.8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✅ 高 60%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IP 资源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自有 IP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学习强国联合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✅ 政治背书更强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政策窗口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常态化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双节点驱动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✅ 更难得</w:t>
            </w:r>
          </w:p>
        </w:tc>
      </w:tr>
    </w:tbl>
    <w:p>
      <w:pPr>
        <w:pStyle w:val="Heading2"/>
      </w:pPr>
      <w:r>
        <w:t>（三）合作模式</w:t>
      </w:r>
    </w:p>
    <w:p>
      <w:r>
        <w:t>学习强国城市合伙人协议（三方合作）：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合作方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主要职责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甲方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学习强国学习平台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开设专题专区、协调政府资源、宣传推广、政策支持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乙方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未来新视界科技（北京）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提供内容 + 软硬件解决方案（30 台 VR 仅 18 万）+ 空间设计 + 运营管理系统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丙方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内蒙古广播电视台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场地（旧台体育馆）+ 运营团队 + 票务销售 + 设备运维 + 市场拓展</w:t>
            </w:r>
          </w:p>
        </w:tc>
      </w:tr>
    </w:tbl>
    <w:p/>
    <w:p>
      <w:pPr>
        <w:ind w:left="1134"/>
      </w:pPr>
      <w:r>
        <w:t>合作期限：3 年（可续约）</w:t>
        <w:br/>
        <w:t>分账方式：30 元/台（散客）+ 15 元/人（学生研学），按月结算，无保底压力</w:t>
      </w:r>
    </w:p>
    <w:p>
      <w:r>
        <w:br w:type="page"/>
      </w:r>
    </w:p>
    <w:p>
      <w:pPr>
        <w:pStyle w:val="Heading1"/>
      </w:pPr>
      <w:r>
        <w:t>二、投资估算与资金筹措</w:t>
      </w:r>
    </w:p>
    <w:p>
      <w:pPr>
        <w:pStyle w:val="Heading2"/>
      </w:pPr>
      <w:r>
        <w:t>（一）投资明细</w:t>
      </w:r>
    </w:p>
    <w:p>
      <w:r>
        <w:t>项目总投资 170 万元（一次性投入）：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3402"/>
        <w:gridCol w:w="1701"/>
        <w:gridCol w:w="3969"/>
      </w:tblGrid>
      <w:tr>
        <w:tc>
          <w:tcPr>
            <w:tcW w:type="dxa" w:w="2280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  <w:sz w:val="20"/>
              </w:rPr>
              <w:t>金额（万元）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IP 授权费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学习强国官方授权，一次性支付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硬件采购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30 台 VR 眼镜 + 配套（乙方报价确认）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场地改造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旧台体育馆水电暖 + 声学改造（控制目标）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合计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170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-</w:t>
            </w:r>
          </w:p>
        </w:tc>
      </w:tr>
    </w:tbl>
    <w:p/>
    <w:p>
      <w:pPr>
        <w:ind w:left="1134"/>
      </w:pPr>
      <w:r>
        <w:rPr>
          <w:i/>
        </w:rPr>
        <w:t>对比河南台：300 万 → 我台 170 万，节省 130 万元（-43%）</w:t>
      </w:r>
    </w:p>
    <w:p>
      <w:pPr>
        <w:pStyle w:val="Heading2"/>
      </w:pPr>
      <w:r>
        <w:t>（二）资金筹措</w:t>
      </w:r>
    </w:p>
    <w:p>
      <w:pPr>
        <w:ind w:left="1134"/>
      </w:pPr>
      <w:r>
        <w:t>资金来源：台内自筹</w:t>
        <w:br/>
        <w:t>支付方式：分阶段支付</w:t>
        <w:br/>
        <w:t xml:space="preserve">  • IP 授权费：签约后 5 日内支付 50 万元</w:t>
        <w:br/>
        <w:t xml:space="preserve">  • 硬件采购：设备交付后支付 18 万元</w:t>
        <w:br/>
        <w:t xml:space="preserve">  • 场地改造：按工程进度分期支付</w:t>
      </w:r>
    </w:p>
    <w:p>
      <w:r>
        <w:br w:type="page"/>
      </w:r>
    </w:p>
    <w:p>
      <w:pPr>
        <w:pStyle w:val="Heading1"/>
      </w:pPr>
      <w:r>
        <w:t>三、财务测算与投资回报</w:t>
      </w:r>
    </w:p>
    <w:p>
      <w:pPr>
        <w:pStyle w:val="Heading2"/>
      </w:pPr>
      <w:r>
        <w:t>（一）收入预测</w:t>
      </w:r>
    </w:p>
    <w:p>
      <w:r>
        <w:t>年营收预测（保守预估）：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收入来源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金额（万元）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计算方式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门票收入（散客）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948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158 元 × 6 万人次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门票收入（团体）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100 元 × 2 万人次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学生研学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75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150 元 × 5000 人次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文创产品销售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利润全归我方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合计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1273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保守预估</w:t>
            </w:r>
          </w:p>
        </w:tc>
      </w:tr>
    </w:tbl>
    <w:p/>
    <w:p>
      <w:pPr>
        <w:ind w:left="1134"/>
      </w:pPr>
      <w:r>
        <w:rPr>
          <w:sz w:val="20"/>
        </w:rPr>
        <w:t>市场依据：呼和浩特市常住人口 395 万，目标客群 80-100 万，年客流 6-9 万人次仅占 0.75%-1.1%</w:t>
      </w:r>
    </w:p>
    <w:p>
      <w:pPr>
        <w:pStyle w:val="Heading2"/>
      </w:pPr>
      <w:r>
        <w:t>（二）成本结构</w:t>
      </w:r>
    </w:p>
    <w:p>
      <w:r>
        <w:t>年运营成本：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成本项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金额（万元）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IP 使用费（分账）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187.5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30 元×6 万 + 15 元×0.5 万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人力成本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180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15-20 人团队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运维成本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设备维护、能耗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营销推广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渠道推广、活动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其他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合计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522.5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-</w:t>
            </w:r>
          </w:p>
        </w:tc>
      </w:tr>
    </w:tbl>
    <w:p>
      <w:pPr>
        <w:pStyle w:val="Heading2"/>
      </w:pPr>
      <w:r>
        <w:t>（三）投资回报分析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数值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对比河南台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年营收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900-1200 万元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河南台 2000 万+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年成本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522.5 万元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年利润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330-630 万元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总投资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170 万元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河南台 300 万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回本周期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4-7 个月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河南台 6-8 个月 ✅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ROI（3 年）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1:8.8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河南台 1:6.7 ✅</w:t>
            </w:r>
          </w:p>
        </w:tc>
      </w:tr>
    </w:tbl>
    <w:p/>
    <w:p>
      <w:pPr>
        <w:ind w:left="1134"/>
      </w:pPr>
      <w:r>
        <w:rPr>
          <w:b/>
          <w:i/>
        </w:rPr>
        <w:t>结论：投得少，赚得多，回本快。</w:t>
      </w:r>
    </w:p>
    <w:p>
      <w:r>
        <w:br w:type="page"/>
      </w:r>
    </w:p>
    <w:p>
      <w:pPr>
        <w:pStyle w:val="Heading1"/>
      </w:pPr>
      <w:r>
        <w:t>四、项目实施计划</w:t>
      </w:r>
    </w:p>
    <w:p>
      <w:pPr>
        <w:pStyle w:val="Heading2"/>
      </w:pPr>
      <w:r>
        <w:t>（一）时间节点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时间周期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核心任务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筹备阶段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2026.05-2026.07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方案细化、基建评估、预算审批、协议签署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建设阶段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2026.08-2026.11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基础设施改造、设备采购部署、内容引进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试运营阶段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2026.12-2027.02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系统联调、人员培训、压力测试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正式运营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2027.03 起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全渠道上线、持续迭代优化</w:t>
            </w:r>
          </w:p>
        </w:tc>
      </w:tr>
    </w:tbl>
    <w:p>
      <w:pPr>
        <w:pStyle w:val="Heading2"/>
      </w:pPr>
      <w:r>
        <w:t>（二）关键里程碑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里程碑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2026.07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完成基建评估与预算审批，签署学习强国城市合伙人协议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2026.11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场馆改造完成，设备部署到位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2026.12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长征胜利 90 周年《长征·英雄》首发 ⭐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2027.03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正式运营启动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2027.10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内蒙古自治区成立 80 周年自主研发内容上线 ⭐</w:t>
            </w:r>
          </w:p>
        </w:tc>
      </w:tr>
    </w:tbl>
    <w:p>
      <w:r>
        <w:br w:type="page"/>
      </w:r>
    </w:p>
    <w:p>
      <w:pPr>
        <w:pStyle w:val="Heading1"/>
      </w:pPr>
      <w:r>
        <w:t>五、风险评估与防控措施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风险类型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风险等级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主要防控措施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政治风险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学习强国联合出品 + 官方媒体资质，内容提前送审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财务风险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无保底条款 + 按人次分账 + 170 万低投资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技术风险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成熟供应商 + 备用设备 + 运维团队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运营风险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多渠道营销推广 + 学校/企事业单位合作 + 学习强国引流</w:t>
            </w:r>
          </w:p>
        </w:tc>
      </w:tr>
    </w:tbl>
    <w:p/>
    <w:p>
      <w:pPr>
        <w:ind w:left="1134"/>
      </w:pPr>
      <w:r>
        <w:rPr>
          <w:i/>
        </w:rPr>
        <w:t>结论：项目风险可控，不做风险更大（错失数字化转型窗口期、被兄弟台站超越、浪费旧台闲置资产、错过双节点）。</w:t>
      </w:r>
    </w:p>
    <w:p>
      <w:pPr>
        <w:pStyle w:val="Heading1"/>
      </w:pPr>
      <w:r>
        <w:t>六、结论与建议</w:t>
      </w:r>
    </w:p>
    <w:p>
      <w:pPr>
        <w:pStyle w:val="Heading2"/>
      </w:pPr>
      <w:r>
        <w:t>（一）核心优势总结</w:t>
      </w:r>
    </w:p>
    <w:p>
      <w:r>
        <w:t>相较于传统模式，本项目具备四大核心优势：</w:t>
      </w:r>
    </w:p>
    <w:p>
      <w:pPr>
        <w:spacing w:after="120"/>
        <w:ind w:left="1134"/>
      </w:pPr>
      <w:r>
        <w:t>1. 财务风险超低：IP 授权费 50 万 + 硬件 18 万 + 按人次分账（30 元/台），无保底压力，4-7 个月回本</w:t>
      </w:r>
    </w:p>
    <w:p>
      <w:pPr>
        <w:spacing w:after="120"/>
        <w:ind w:left="1134"/>
      </w:pPr>
      <w:r>
        <w:t>2. 政治背书强大：学习强国联合出品 + 长征 90 周年 + 台内年度实施方案支撑</w:t>
      </w:r>
    </w:p>
    <w:p>
      <w:pPr>
        <w:spacing w:after="120"/>
        <w:ind w:left="1134"/>
      </w:pPr>
      <w:r>
        <w:t>3. 成功案例对标：河南台《唐宫夜宴》VR 项目已验证模式可行（ROI 1:6.7），我台可达 1:8.8</w:t>
      </w:r>
    </w:p>
    <w:p>
      <w:pPr>
        <w:spacing w:after="120"/>
        <w:ind w:left="1134"/>
      </w:pPr>
      <w:r>
        <w:t>4. 扩展性良好：自主研发能力建设，长期可持续发展，可复制推广至全区乃至全国</w:t>
      </w:r>
    </w:p>
    <w:p>
      <w:pPr>
        <w:pStyle w:val="Heading2"/>
      </w:pPr>
      <w:r>
        <w:t>（二）建议事项</w:t>
      </w:r>
    </w:p>
    <w:p>
      <w:pPr>
        <w:spacing w:after="120"/>
        <w:ind w:left="1134"/>
      </w:pPr>
      <w:r>
        <w:t>1. 尽快立项启动：旧台体育馆基建评估与改造工作</w:t>
      </w:r>
    </w:p>
    <w:p>
      <w:pPr>
        <w:spacing w:after="120"/>
        <w:ind w:left="1134"/>
      </w:pPr>
      <w:r>
        <w:t>2. 成立专项工作组：台领导牵头，统筹项目推进</w:t>
      </w:r>
    </w:p>
    <w:p>
      <w:pPr>
        <w:spacing w:after="120"/>
        <w:ind w:left="1134"/>
      </w:pPr>
      <w:r>
        <w:t>3. 签署学习强国城市合伙人协议：锁定呼和浩特市授权（50 万 IP 费 + 分账模式）</w:t>
      </w:r>
    </w:p>
    <w:p>
      <w:pPr>
        <w:spacing w:after="120"/>
        <w:ind w:left="1134"/>
      </w:pPr>
      <w:r>
        <w:t>4. 以长征胜利 90 周年为首发节点：2026.12《长征·英雄》VR 大空间上线</w:t>
      </w:r>
    </w:p>
    <w:p>
      <w:pPr>
        <w:spacing w:after="120"/>
        <w:ind w:left="1134"/>
      </w:pPr>
      <w:r>
        <w:t>5. 同步启动自主研发团队建设：为 2027 年内蒙 80 周年节点做准备</w:t>
      </w:r>
    </w:p>
    <w:p/>
    <w:p>
      <w:pPr>
        <w:spacing w:before="240"/>
        <w:ind w:left="1134"/>
      </w:pPr>
      <w:r>
        <w:rPr>
          <w:b/>
          <w:i/>
        </w:rPr>
        <w:t>一句话总结：170 万投资，4-7 个月回本，ROI 1:8.8，学习强国背书，双节点驱动，河南台已验证成功，不做是失职，做了是政绩。</w:t>
      </w:r>
    </w:p>
    <w:p>
      <w:r>
        <w:br w:type="page"/>
      </w:r>
    </w:p>
    <w:p>
      <w:pPr>
        <w:pStyle w:val="Heading1"/>
      </w:pPr>
      <w:r>
        <w:t>附件清单</w:t>
      </w:r>
    </w:p>
    <w:p>
      <w:pPr>
        <w:spacing w:after="120"/>
        <w:ind w:left="1134"/>
      </w:pPr>
      <w:r>
        <w:t>1. 《学习强国〈长征·英雄〉VR 大空间三方城市合伙人协议》</w:t>
      </w:r>
    </w:p>
    <w:p>
      <w:pPr>
        <w:spacing w:after="120"/>
        <w:ind w:left="1134"/>
      </w:pPr>
      <w:r>
        <w:t>2. 《XR 项目财务测算表》（详细版）</w:t>
      </w:r>
    </w:p>
    <w:p>
      <w:pPr>
        <w:spacing w:after="120"/>
        <w:ind w:left="1134"/>
      </w:pPr>
      <w:r>
        <w:t>3. 《场馆改造技术方案》</w:t>
      </w:r>
    </w:p>
    <w:p>
      <w:pPr>
        <w:spacing w:after="120"/>
        <w:ind w:left="1134"/>
      </w:pPr>
      <w:r>
        <w:t>4. 《设备采购清单及预算》</w:t>
      </w:r>
    </w:p>
    <w:p>
      <w:pPr>
        <w:spacing w:after="120"/>
        <w:ind w:left="1134"/>
      </w:pPr>
      <w:r>
        <w:t>5. 《河南电视台〈唐宫夜宴〉VR 项目案例分析报告》</w:t>
      </w:r>
    </w:p>
    <w:p>
      <w:pPr>
        <w:spacing w:after="120"/>
        <w:ind w:left="1134"/>
      </w:pPr>
      <w:r>
        <w:t>6. 《台内 2026 年度实施方案》（第 18、19、33 条）</w:t>
      </w:r>
    </w:p>
    <w:p>
      <w:pPr>
        <w:spacing w:after="120"/>
        <w:ind w:left="1134"/>
      </w:pPr>
      <w:r>
        <w:t>7. 《呼和浩特市市场调研报告》</w:t>
      </w:r>
    </w:p>
    <w:p>
      <w:pPr>
        <w:spacing w:after="120"/>
        <w:ind w:left="1134"/>
      </w:pPr>
      <w:r>
        <w:t>8. 《项目实施甘特图》</w:t>
      </w:r>
    </w:p>
    <w:p/>
    <w:p>
      <w:r>
        <w:t>________________________________________________________________________________</w:t>
      </w:r>
    </w:p>
    <w:p>
      <w:r>
        <w:t>呈报人：强国小马（数字团队总监）</w:t>
        <w:br/>
      </w:r>
      <w:r>
        <w:t>联合呈报：内蒙古 XR 项目团队</w:t>
        <w:br/>
      </w:r>
      <w:r>
        <w:t>联系方式：钉钉私信</w:t>
        <w:br/>
      </w:r>
      <w:r>
        <w:t>呈报日期：2026 年 4 月 17 日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