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4/13/2021 - 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1:45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bookmarkStart w:colFirst="0" w:colLast="0" w:name="_heading=h.oslwgn9oaby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Jon Ledbetter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 Github &amp; Worked on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Updater &amp; Worked on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Note taker and Worked on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 &amp; Worked on on Application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Talk about the plan for this week and work on flask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285"/>
        <w:gridCol w:w="2160"/>
        <w:gridCol w:w="1620"/>
        <w:tblGridChange w:id="0">
          <w:tblGrid>
            <w:gridCol w:w="6285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7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Homepage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&amp; 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About Page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 Form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4/18/2021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3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04/15/2021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8mwobAqJDdAf6O6+QN7N4GXTJA==">AMUW2mUPvOM56yhCZ05JmX54Ydq5fdK10vKZgs7TTZ7Xn3p2324g5M2SQTtxwQ7GiJMam8SM+AJyNHYeLJGDcTbb4Hc2LaftzFEP2TzPtMT3IFCdKmvsc5FR1v5dcF8/F1J45IsY98c5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