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03/30/2021 -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Felipe Orrego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taker, also made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our plan for finishing this week's assignments.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DFD #1, # 2,(we were going to split these further but he wanted to make 2 himself)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DFD #4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(7-9)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(10-12)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KndRHA38TS4ktZeXsfdxOXNRJg==">AMUW2mX0xUvkKZevxTjEzjTzaSF00sN2xKEP9+EusSHjTDcMxulBDLgbPMRx7Ie0GoR1lbaRWZwkfSnP+v/lXGjdxWNZvDJIS67PxNYZFP6TQEc1LbIUqtI=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