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respawns as the new vessel (proved by the energy gauge changing type, which a renamed profile cannot fake),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2026-08-10T18:41:23.574Z</dcterms:created>
  <dcterms:modified xsi:type="dcterms:W3CDTF">2026-08-10T18:41:23.594Z</dcterms:modified>
</cp:coreProperties>
</file>

<file path=docProps/custom.xml><?xml version="1.0" encoding="utf-8"?>
<Properties xmlns="http://schemas.openxmlformats.org/officeDocument/2006/custom-properties" xmlns:vt="http://schemas.openxmlformats.org/officeDocument/2006/docPropsVTypes"/>
</file>