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behaviour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organisation.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behaviour.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behaviour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colour.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kilometres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behaviour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behaviour,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judgement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behaviour;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behaviours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behaviour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kilometres away, displayed exactly as authoritatively as a local one.</w:t>
      </w:r>
    </w:p>
    <w:p>
      <w:pPr>
        <w:spacing w:after="120"/>
      </w:pPr>
      <w:r>
        <w:rPr>
          <w:color w:val="1a1a1a"/>
          <w:sz w:val="21"/>
          <w:szCs w:val="21"/>
        </w:rPr>
        <w:t xml:space="preserve">CAUSE: not a fault. The reading was correctly labelled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behavioural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control-coloured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behavioural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behaviour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2026-09-03T02:01:13.422Z</dcterms:created>
  <dcterms:modified xsi:type="dcterms:W3CDTF">2026-09-03T02:01:13.422Z</dcterms:modified>
</cp:coreProperties>
</file>

<file path=docProps/custom.xml><?xml version="1.0" encoding="utf-8"?>
<Properties xmlns="http://schemas.openxmlformats.org/officeDocument/2006/custom-properties" xmlns:vt="http://schemas.openxmlformats.org/officeDocument/2006/docPropsVTypes"/>
</file>