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behaviour,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behaviour,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behaviour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Plan speeds,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(litres,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channel_reach_m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and </w:t>
      </w:r>
      <w:r>
        <w:rPr>
          <w:rFonts w:ascii="Consolas" w:cs="Consolas" w:eastAsia="Consolas" w:hAnsi="Consolas"/>
          <w:color w:val="1a1a1a"/>
          <w:sz w:val="20"/>
          <w:szCs w:val="20"/>
        </w:rPr>
        <w:t xml:space="preserve">hold</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classic script scope, no build step. It owns the slippy chart, the ENC feature set, all planning geometry, all route search, and every card.</w:t>
      </w:r>
    </w:p>
    <w:p>
      <w:pPr>
        <w:pStyle w:val="Heading2"/>
        <w:spacing w:after="130" w:before="260"/>
      </w:pPr>
      <w:r>
        <w:t xml:space="preserve">6.1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w:t>
            </w:r>
            <w:r>
              <w:rPr>
                <w:rFonts w:ascii="Consolas" w:cs="Consolas" w:eastAsia="Consolas" w:hAnsi="Consolas"/>
                <w:color w:val="1a1a1a"/>
                <w:sz w:val="19"/>
                <w:szCs w:val="19"/>
              </w:rPr>
              <w:t xml:space="preserve">SURV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Three-click survey pattern, spacing/direction, Punch Out, Add to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area (</w:t>
            </w:r>
            <w:r>
              <w:rPr>
                <w:rFonts w:ascii="Consolas" w:cs="Consolas" w:eastAsia="Consolas" w:hAnsi="Consolas"/>
                <w:color w:val="1a1a1a"/>
                <w:sz w:val="19"/>
                <w:szCs w:val="19"/>
              </w:rPr>
              <w:t xml:space="preserve">BND</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Arbitrary boundary polygon that clips the pattern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Search (</w:t>
            </w:r>
            <w:r>
              <w:rPr>
                <w:rFonts w:ascii="Consolas" w:cs="Consolas" w:eastAsia="Consolas" w:hAnsi="Consolas"/>
                <w:color w:val="1a1a1a"/>
                <w:sz w:val="19"/>
                <w:szCs w:val="19"/>
              </w:rPr>
              <w:t xml:space="preserve">SRCH</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Canned search patterns: expanding box, sector, parallel track</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Transit (</w:t>
            </w:r>
            <w:r>
              <w:rPr>
                <w:rFonts w:ascii="Consolas" w:cs="Consolas" w:eastAsia="Consolas" w:hAnsi="Consolas"/>
                <w:color w:val="1a1a1a"/>
                <w:sz w:val="19"/>
                <w:szCs w:val="19"/>
              </w:rPr>
              <w:t xml:space="preserve">TRAN</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Draw and follow a route with no survey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Vessel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MISSION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kilometres away, the number is another coast's tide.</w:t>
      </w:r>
    </w:p>
    <w:p>
      <w:pPr>
        <w:spacing w:after="120"/>
      </w:pPr>
      <w:r>
        <w:rPr>
          <w:color w:val="1a1a1a"/>
          <w:sz w:val="21"/>
          <w:szCs w:val="21"/>
        </w:rPr>
        <w:t xml:space="preserve">The reading is therefore banded by the distance to the nearest contributing station. Within a few tens of kilometres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metres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50 m and configurable per vessel, and the buffer is added ON TOP of it as the margin it was always meant to be.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honour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centreline, half way out to the edge on that side — a quarter of the full width in from the edge. Buoy COLOUR is never an input; it falls out, because lateral marks sit on fixed sides. Opposing traffic therefore passes port to port.</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centre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low speed, so widening the lines or slowing down stays the operator's decision. Where even the teardrop cannot fit clear of the keep-outs, the reversal falls back to a straight hop and the banner marks it UNTRACKABLE rather than clear.</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harbour,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behaviour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two-metre vessel and a twenty-metre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DISPLAY filter only — a true range circle from the vessel, clamped to the collect radius. The card reads and sets it in NAUTICAL MILES;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metres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behaviour that has bitten repeatedly. None needs a third-party dependency; several stand up a REAL console and drive it over the API, because accepting a command proves nothing about whether it reached the vessel. The pre-commit hook runs every one of them whenever a source they cover is staged.</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(undocumented — add an entry to GUARDS in tools/build_tech_manual.js)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(undocumented — add an entry to GUARDS in tools/build_tech_manual.js)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and that the lane fact travels WITH the route it describes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(undocumented — add an entry to GUARDS in tools/build_tech_manual.js)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behaviour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(undocumented — add an entry to GUARDS in tools/build_tech_manual.js)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(undocumented — add an entry to GUARDS in tools/build_tech_manual.js)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(undocumented — add an entry to GUARDS in tools/build_tech_manual.js)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(undocumented — add an entry to GUARDS in tools/build_tech_manual.js)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(undocumented — add an entry to GUARDS in tools/build_tech_manual.js)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(undocumented — add an entry to GUARDS in tools/build_tech_manual.js)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(undocumented — add an entry to GUARDS in tools/build_tech_manual.js)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(undocumented — add an entry to GUARDS in tools/build_tech_manual.js)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(undocumented — add an entry to GUARDS in tools/build_tech_manual.js)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shape selection, the minimum radius held along the WHOLE path, exit alignment, outboard excursion, and nogo refusal paired with its clear-water twin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(undocumented — add an entry to GUARDS in tools/build_tech_manual.js)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(undocumented — add an entry to GUARDS in tools/build_tech_manual.js)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that a wreck keeps a route off it in BOTH the exact check and the search raster, that a charted sounding over it is honoured and tide-corrected, and that the vessel's buffer floor holds</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behaviour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behaviour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2026-08-08T15:46:11.369Z</dcterms:created>
  <dcterms:modified xsi:type="dcterms:W3CDTF">2026-08-08T15:46:11.369Z</dcterms:modified>
</cp:coreProperties>
</file>

<file path=docProps/custom.xml><?xml version="1.0" encoding="utf-8"?>
<Properties xmlns="http://schemas.openxmlformats.org/officeDocument/2006/custom-properties" xmlns:vt="http://schemas.openxmlformats.org/officeDocument/2006/docPropsVTypes"/>
</file>