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p><w:pPr><w:spacing w:after="120"/></w:pPr><w:r><w:rPr><w:color w:val="1a1a1a"/><w:sz w:val="21"/><w:szCs w:val="21"/></w:rPr><w:t xml:space="preserve">Four GENERATED documents plus the repository&apos;s own notes. The generated set shares one formatting module and is rebuilt with a single command; never hand-edit a generated document.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2100"/><w:gridCol w:w="48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2100"/><w:shd w:fill="DDE5EF" w:val="clear"/><w:tcMar><w:top w:type="dxa" w:w="40"/><w:left w:type="dxa" w:w="80"/><w:bottom w:type="dxa" w:w="40"/><w:right w:type="dxa" w:w="80"/></w:tcMar></w:tcPr><w:p><w:pPr><w:spacing w:after="0"/></w:pPr><w:r><w:rPr><w:b/><w:bCs/><w:color w:val="1a1a1a"/><w:sz w:val="19"/><w:szCs w:val="19"/></w:rPr><w:t xml:space="preserve">Audience</w:t></w:r></w:p></w:tc><w:tc><w:tcPr><w:tcW w:type="dxa" w:w="4860"/><w:shd w:fill="DDE5EF" w:val="clear"/><w:tcMar><w:top w:type="dxa" w:w="40"/><w:left w:type="dxa" w:w="80"/><w:bottom w:type="dxa" w:w="40"/><w:right w:type="dxa" w:w="80"/></w:tcMar></w:tcPr><w:p><w:pPr><w:spacing w:after="0"/></w:pPr><w:r><w:rPr><w:b/><w:bCs/><w:color w:val="1a1a1a"/><w:sz w:val="19"/><w:szCs w:val="19"/></w:rPr><w:t xml:space="preserve">Covers</w:t></w:r></w:p></w:tc></w:tr><w:tr><w:tc><w:tcPr><w:tcW w:type="dxa" w:w="2400"/><w:tcMar><w:top w:type="dxa" w:w="40"/><w:left w:type="dxa" w:w="80"/><w:bottom w:type="dxa" w:w="40"/><w:right w:type="dxa" w:w="80"/></w:tcMar></w:tcPr><w:p><w:pPr><w:spacing w:after="0"/></w:pPr><w:r><w:rPr><w:b w:val="false"/><w:bCs w:val="false"/><w:color w:val="1a1a1a"/><w:sz w:val="19"/><w:szCs w:val="19"/></w:rPr><w:t xml:space="preserve">Quick Start (generated)</w:t></w:r></w:p></w:tc><w:tc><w:tcPr><w:tcW w:type="dxa" w:w="2100"/><w:tcMar><w:top w:type="dxa" w:w="40"/><w:left w:type="dxa" w:w="80"/><w:bottom w:type="dxa" w:w="40"/><w:right w:type="dxa" w:w="80"/></w:tcMar></w:tcPr><w:p><w:pPr><w:spacing w:after="0"/></w:pPr><w:r><w:rPr><w:b w:val="false"/><w:bCs w:val="false"/><w:color w:val="1a1a1a"/><w:sz w:val="19"/><w:szCs w:val="19"/></w:rPr><w:t xml:space="preserve">First-time users</w:t></w:r></w:p></w:tc><w:tc><w:tcPr><w:tcW w:type="dxa" w:w="4860"/><w:tcMar><w:top w:type="dxa" w:w="40"/><w:left w:type="dxa" w:w="80"/><w:bottom w:type="dxa" w:w="40"/><w:right w:type="dxa" w:w="80"/></w:tcMar></w:tcPr><w:p><w:pPr><w:spacing w:after="0"/></w:pPr><w:r><w:rPr><w:b w:val="false"/><w:bCs w:val="false"/><w:color w:val="1a1a1a"/><w:sz w:val="19"/><w:szCs w:val="19"/></w:rPr><w:t xml:space="preserve">Running it, a first commanded behaviour, a first survey, in about twenty minutes</w:t></w:r></w:p></w:tc></w:tr><w:tr><w:tc><w:tcPr><w:tcW w:type="dxa" w:w="2400"/><w:tcMar><w:top w:type="dxa" w:w="40"/><w:left w:type="dxa" w:w="80"/><w:bottom w:type="dxa" w:w="40"/><w:right w:type="dxa" w:w="80"/></w:tcMar></w:tcPr><w:p><w:pPr><w:spacing w:after="0"/></w:pPr><w:r><w:rPr><w:b w:val="false"/><w:bCs w:val="false"/><w:color w:val="1a1a1a"/><w:sz w:val="19"/><w:szCs w:val="19"/></w:rPr><w:t xml:space="preserve">Operations Manual (generated)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Safety model, display, chart awareness, every behaviour,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This manual (generated)</w:t></w:r></w:p></w:tc><w:tc><w:tcPr><w:tcW w:type="dxa" w:w="2100"/><w:tcMar><w:top w:type="dxa" w:w="40"/><w:left w:type="dxa" w:w="80"/><w:bottom w:type="dxa" w:w="40"/><w:right w:type="dxa" w:w="80"/></w:tcMar></w:tcPr><w:p><w:pPr><w:spacing w:after="0"/></w:pPr><w:r><w:rPr><w:b w:val="false"/><w:bCs w:val="false"/><w:color w:val="1a1a1a"/><w:sz w:val="19"/><w:szCs w:val="19"/></w:rPr><w:t xml:space="preserve">Engineers, programmers</w:t></w:r></w:p></w:tc><w:tc><w:tcPr><w:tcW w:type="dxa" w:w="48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 (generated)</w:t></w:r></w:p></w:tc><w:tc><w:tcPr><w:tcW w:type="dxa" w:w="2100"/><w:tcMar><w:top w:type="dxa" w:w="40"/><w:left w:type="dxa" w:w="80"/><w:bottom w:type="dxa" w:w="40"/><w:right w:type="dxa" w:w="80"/></w:tcMar></w:tcPr><w:p><w:pPr><w:spacing w:after="0"/></w:pPr><w:r><w:rPr><w:b w:val="false"/><w:bCs w:val="false"/><w:color w:val="1a1a1a"/><w:sz w:val="19"/><w:szCs w:val="19"/></w:rPr><w:t xml:space="preserve">Contributors, maintainers</w:t></w:r></w:p></w:tc><w:tc><w:tcPr><w:tcW w:type="dxa" w:w="4860"/><w:tcMar><w:top w:type="dxa" w:w="40"/><w:left w:type="dxa" w:w="80"/><w:bottom w:type="dxa" w:w="40"/><w:right w:type="dxa" w:w="80"/></w:tcMar></w:tcPr><w:p><w:pPr><w:spacing w:after="0"/></w:pPr><w:r><w:rPr><w:b w:val="false"/><w:bCs w:val="false"/><w:color w:val="1a1a1a"/><w:sz w:val="19"/><w:szCs w:val="19"/></w:rPr><w:t xml:space="preserve">How the project is built and verified: testing philosophy, defect shapes, case studies, extension recipes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100"/><w:tcMar><w:top w:type="dxa" w:w="40"/><w:left w:type="dxa" w:w="80"/><w:bottom w:type="dxa" w:w="40"/><w:right w:type="dxa" w:w="80"/></w:tcMar></w:tcPr><w:p><w:pPr><w:spacing w:after="0"/></w:pPr><w:r><w:rPr><w:b w:val="false"/><w:bCs w:val="false"/><w:color w:val="1a1a1a"/><w:sz w:val="19"/><w:szCs w:val="19"/></w:rPr><w:t xml:space="preserve">Operators, new readers</w:t></w:r></w:p></w:tc><w:tc><w:tcPr><w:tcW w:type="dxa" w:w="48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100"/><w:tcMar><w:top w:type="dxa" w:w="40"/><w:left w:type="dxa" w:w="80"/><w:bottom w:type="dxa" w:w="40"/><w:right w:type="dxa" w:w="80"/></w:tcMar></w:tcPr><w:p><w:pPr><w:spacing w:after="0"/></w:pPr><w:r><w:rPr><w:b w:val="false"/><w:bCs w:val="false"/><w:color w:val="1a1a1a"/><w:sz w:val="19"/><w:szCs w:val="19"/></w:rPr><w:t xml:space="preserve">Maintainers</w:t></w:r></w:p></w:tc><w:tc><w:tcPr><w:tcW w:type="dxa" w:w="48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Rebuild the whole generated set with </w:t></w:r><w:r><w:rPr><w:rFonts w:ascii="Consolas" w:cs="Consolas" w:eastAsia="Consolas" w:hAnsi="Consolas"/><w:color w:val="1a1a1a"/><w:sz w:val="20"/><w:szCs w:val="20"/></w:rPr><w:t xml:space="preserve">cd tools &amp;&amp; node build_docs.js</w:t></w:r><w:r><w:rPr><w:color w:val="1a1a1a"/><w:sz w:val="21"/><w:szCs w:val="21"/></w:rPr><w:t xml:space="preserve">. Each generator is standalone and can be run on its own; the shared formatting lives in </w:t></w:r><w:r><w:rPr><w:rFonts w:ascii="Consolas" w:cs="Consolas" w:eastAsia="Consolas" w:hAnsi="Consolas"/><w:color w:val="1a1a1a"/><w:sz w:val="20"/><w:szCs w:val="20"/></w:rPr><w:t xml:space="preserve">tools/docx_kit.js</w:t></w:r><w:r><w:rPr><w:color w:val="1a1a1a"/><w:sz w:val="21"/><w:szCs w:val="21"/></w:rPr><w:t xml:space="preserve">.</w:t></w: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3"/><w:spacing w:after="100" w:before="200"/></w:pPr><w:r><w:t xml:space="preserve">5.1.2  ... and the END ACTION, which is what the operator asked</w:t></w:r></w:p><w:p><w:pPr><w:spacing w:after="120"/></w:pPr><w:r><w:rPr><w:color w:val="1a1a1a"/><w:sz w:val="21"/><w:szCs w:val="21"/></w:rPr><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w:r></w:p><w:p><w:pPr><w:spacing w:after="120"/></w:pPr><w:r><w:rPr><w:rFonts w:ascii="Consolas" w:cs="Consolas" w:eastAsia="Consolas" w:hAnsi="Consolas"/><w:color w:val="1a1a1a"/><w:sz w:val="20"/><w:szCs w:val="20"/></w:rPr><w:t xml:space="preserve">endAction()</w:t></w:r><w:r><w:rPr><w:color w:val="1a1a1a"/><w:sz w:val="21"/><w:szCs w:val="21"/></w:rPr><w:t xml:space="preserve"> in the client is the third value, and the only one the cards show. It is the run&apos;s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w:r></w:p><w:p><w:pPr><w:spacing w:after="120"/></w:pPr><w:r><w:rPr><w:color w:val="1a1a1a"/><w:sz w:val="21"/><w:szCs w:val="21"/></w:rPr><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Vessel status</w:t></w:r></w:p></w:tc><w:tc><w:tcPr><w:tcW w:type="dxa" w:w="7160"/><w:tcMar><w:top w:type="dxa" w:w="40"/><w:left w:type="dxa" w:w="80"/><w:bottom w:type="dxa" w:w="40"/><w:right w:type="dxa" w:w="80"/></w:tcMar></w:tcPr><w:p><w:pPr><w:spacing w:after="0"/></w:pPr><w:r><w:rPr><w:b w:val="false"/><w:bCs w:val="false"/><w:color w:val="1a1a1a"/><w:sz w:val="19"/><w:szCs w:val="19"/></w:rPr><w:t xml:space="preserve">Live telemetry, water level, nogo, comms — and the MISSION block: one readout for every commanded run (type, waypoint progress, routed length, time to end, end mode, run time, status), shown only while there is a run to describe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3"/><w:spacing w:after="100" w:before="200"/></w:pPr><w:r><w:t xml:space="preserve">7.1.1  Reporting the model&apos;s state</w:t></w:r></w:p><w:p><w:pPr><w:spacing w:after="120"/></w:pPr><w:r><w:rPr><w:color w:val="1a1a1a"/><w:sz w:val="21"/><w:szCs w:val="21"/></w:rPr><w:t xml:space="preserve">The vessel-status readout NAMES THE STATE rather than printing a count: reading the chart (with the elapsed seconds, so a chart service that has stopped answering does not look like a slow first fetch), a zone count with the vessel&apos;s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w:r></w:p><w:p><w:pPr><w:spacing w:after="120"/></w:pPr><w:r><w:rPr><w:color w:val="1a1a1a"/><w:sz w:val="21"/><w:szCs w:val="21"/></w:rPr><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Twelve regression suites guard behaviour that has bitten repeatedly. All run with no server and no third-party dependencies, and the pre-commit hook runs every one of them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tests/end_action.js</w:t></w:r></w:p></w:tc><w:tc><w:tcPr><w:tcW w:type="dxa" w:w="6660"/><w:tcMar><w:top w:type="dxa" w:w="40"/><w:left w:type="dxa" w:w="80"/><w:bottom w:type="dxa" w:w="40"/><w:right w:type="dxa" w:w="80"/></w:tcMar></w:tcPr><w:p><w:pPr><w:spacing w:after="0"/></w:pPr><w:r><w:rPr><w:b w:val="false"/><w:bCs w:val="false"/><w:color w:val="1a1a1a"/><w:sz w:val="19"/><w:szCs w:val="19"/></w:rPr><w:t xml:space="preserve">That the cards name where the run leaves the vessel: an end-of-plan return-to-home shows on a Go-To, a transit and a survey alike from the START of the run; that it is not promised when the chain cannot fire; and that the one-shot re-arms for a run commanded while the vessel is already under way</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tests/nogo_readout.js</w:t></w:r></w:p></w:tc><w:tc><w:tcPr><w:tcW w:type="dxa" w:w="6660"/><w:tcMar><w:top w:type="dxa" w:w="40"/><w:left w:type="dxa" w:w="80"/><w:bottom w:type="dxa" w:w="40"/><w:right w:type="dxa" w:w="80"/></w:tcMar></w:tcPr><w:p><w:pPr><w:spacing w:after="0"/></w:pPr><w:r><w:rPr><w:b w:val="false"/><w:bCs w:val="false"/><w:color w:val="1a1a1a"/><w:sz w:val="19"/><w:szCs w:val="19"/></w:rPr><w:t xml:space="preserve">The keep-out readout&apos;s state: that it stops reporting “reading” once the extract has landed (driven end to end through the real refresh path, because the fault was statement ORDER, not wording), and that “clear water” and “no chart at all” — both of which are zero keep-outs — never read as the same 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tests/pattern_move_grip.js</w:t></w:r></w:p></w:tc><w:tc><w:tcPr><w:tcW w:type="dxa" w:w="6660"/><w:tcMar><w:top w:type="dxa" w:w="40"/><w:left w:type="dxa" w:w="80"/><w:bottom w:type="dxa" w:w="40"/><w:right w:type="dxa" w:w="80"/></w:tcMar></w:tcPr><w:p><w:pPr><w:spacing w:after="0"/></w:pPr><w:r><w:rPr><w:b w:val="false"/><w:bCs w:val="false"/><w:color w:val="1a1a1a"/><w:sz w:val="19"/><w:szCs w:val="19"/></w:rPr><w:t xml:space="preserve">That the survey pattern’s whole-move grip is both REACHABLE (hit test, corners still winning ties so a small pattern stays reshapeable) and VISIBLE — it is drawn last, above the vessel marker that used to cover it completely, since the vessel sits at the centre of a survey box more often than not</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tests/survey_card.js</w:t></w:r></w:p></w:tc><w:tc><w:tcPr><w:tcW w:type="dxa" w:w="6660"/><w:tcMar><w:top w:type="dxa" w:w="40"/><w:left w:type="dxa" w:w="80"/><w:bottom w:type="dxa" w:w="40"/><w:right w:type="dxa" w:w="80"/></w:tcMar></w:tcPr><w:p><w:pPr><w:spacing w:after="0"/></w:pPr><w:r><w:rPr><w:b w:val="false"/><w:bCs w:val="false"/><w:color w:val="1a1a1a"/><w:sz w:val="19"/><w:szCs w:val="19"/></w:rPr><w:t xml:space="preserve">That a committed survey plan is still described on the planning card rather than blanking when its pattern anchors are dropped, and that the figures are DERIVED from the committed lines - self-validating on parallelism, so a non-parallel search pattern is not given a meaningless spacing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tests/speed_recalc.js</w:t></w:r></w:p></w:tc><w:tc><w:tcPr><w:tcW w:type="dxa" w:w="6660"/><w:tcMar><w:top w:type="dxa" w:w="40"/><w:left w:type="dxa" w:w="80"/><w:bottom w:type="dxa" w:w="40"/><w:right w:type="dxa" w:w="80"/></w:tcMar></w:tcPr><w:p><w:pPr><w:spacing w:after="0"/></w:pPr><w:r><w:rPr><w:b w:val="false"/><w:bCs w:val="false"/><w:color w:val="1a1a1a"/><w:sz w:val="19"/><w:szCs w:val="19"/></w:rPr><w:t xml:space="preserve">That the plan speed is treated as an INPUT: changing it recalculates the turn geometry, durations and per-line times, and a plan already committed - whose turn waypoints cannot be rebuilt - is re-checked against the minimum turn radius the new speed implies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tests/live_speed.py</w:t></w:r></w:p></w:tc><w:tc><w:tcPr><w:tcW w:type="dxa" w:w="6660"/><w:tcMar><w:top w:type="dxa" w:w="40"/><w:left w:type="dxa" w:w="80"/><w:bottom w:type="dxa" w:w="40"/><w:right w:type="dxa" w:w="80"/></w:tcMar></w:tcPr><w:p><w:pPr><w:spacing w:after="0"/></w:pPr><w:r><w:rPr><w:b w:val="false"/><w:bCs w:val="false"/><w:color w:val="1a1a1a"/><w:sz w:val="19"/><w:szCs w:val="19"/></w:rPr><w:t xml:space="preserve">That a commanded speed change REACHES the vessel rather than only the readout: with the vessel under way, speed over ground follows the command in both directions. Drives a real console and lets the vessel accelerate, because accepting the command proves nothing</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2026-08-03T01:35:59.335Z</dcterms:created>
  <dcterms:modified xsi:type="dcterms:W3CDTF">2026-08-03T01:35:59.335Z</dcterms:modified>
</cp:coreProperties>
</file>

<file path=docProps/custom.xml><?xml version="1.0" encoding="utf-8"?>
<Properties xmlns="http://schemas.openxmlformats.org/officeDocument/2006/custom-properties" xmlns:vt="http://schemas.openxmlformats.org/officeDocument/2006/docPropsVTypes"/>
</file>