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behaviour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organisation.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behaviour.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when a source it covers is staged. Enable it once per clone; it is versioned in the repository rather than left to each developer to remember. It reports EVERY failure rather than stopping at the first, because two broken invariants are worth knowing about in one pass.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behaviour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honouring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colour.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honoured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kilometres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behaviour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serialises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behaviour,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judgement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behaviour;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behaviours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behaviour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kilometres away, displayed exactly as authoritatively as a local one.</w:t>
      </w:r>
    </w:p>
    <w:p>
      <w:pPr>
        <w:spacing w:after="120"/>
      </w:pPr>
      <w:r>
        <w:rPr>
          <w:color w:val="1a1a1a"/>
          <w:sz w:val="21"/>
          <w:szCs w:val="21"/>
        </w:rPr>
        <w:t xml:space="preserve">CAUSE: not a fault. The reading was correctly labelled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behavioural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control-coloured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serialiser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behavioural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behaviour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2026-09-02T00:03:48.981Z</dcterms:created>
  <dcterms:modified xsi:type="dcterms:W3CDTF">2026-09-02T00:03:48.981Z</dcterms:modified>
</cp:coreProperties>
</file>

<file path=docProps/custom.xml><?xml version="1.0" encoding="utf-8"?>
<Properties xmlns="http://schemas.openxmlformats.org/officeDocument/2006/custom-properties" xmlns:vt="http://schemas.openxmlformats.org/officeDocument/2006/docPropsVTypes"/>
</file>