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spacing w:after="120"/>
      </w:pPr>
      <w:r>
        <w:rPr>
          <w:color w:val="1a1a1a"/>
          <w:sz w:val="21"/>
          <w:szCs w:val="21"/>
        </w:rPr>
        <w:t xml:space="preserve">When a reversal is refused because its loop would enter a navigation channel, the banner says so in those words, the offending channel is OUTLINED on the chart with the blocked spot marked, and the banner quotes how much clear water the turns need beyond the line ends. The remedies are listed in the banner: end the lines that far from the channel, widen the spacing, slow the plan — or, if the channel itself is meant to be covered, draw the survey into it.</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2026-09-16T00:06:15.167Z</dcterms:created>
  <dcterms:modified xsi:type="dcterms:W3CDTF">2026-09-16T00:06:15.167Z</dcterms:modified>
</cp:coreProperties>
</file>

<file path=docProps/custom.xml><?xml version="1.0" encoding="utf-8"?>
<Properties xmlns="http://schemas.openxmlformats.org/officeDocument/2006/custom-properties" xmlns:vt="http://schemas.openxmlformats.org/officeDocument/2006/docPropsVTypes"/>
</file>