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in the chart's own channel (chartedChannelLane), between buoy pairs (buoyChannelLane) and in unmarked narrow water (narrowChannelLane) a rock is a keep-out like any other, passed at the ordinary keep-clear in either model.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or off a survey; and a slow-radius turn is keyed LOW in the walk, as it is flown.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2026-10-06T10:51:07.929Z</dcterms:created>
  <dcterms:modified xsi:type="dcterms:W3CDTF">2026-10-06T10:51:07.929Z</dcterms:modified>
</cp:coreProperties>
</file>

<file path=docProps/custom.xml><?xml version="1.0" encoding="utf-8"?>
<Properties xmlns="http://schemas.openxmlformats.org/officeDocument/2006/custom-properties" xmlns:vt="http://schemas.openxmlformats.org/officeDocument/2006/docPropsVTypes"/>
</file>