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behaviour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organisation.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behaviour.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behaviour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colour.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kilometres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behaviour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behaviour,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judgement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behaviour;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behaviours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kilometres away, displayed exactly as authoritatively as a local one.</w:t>
      </w:r>
    </w:p>
    <w:p>
      <w:pPr>
        <w:spacing w:after="120"/>
      </w:pPr>
      <w:r>
        <w:rPr>
          <w:color w:val="1a1a1a"/>
          <w:sz w:val="21"/>
          <w:szCs w:val="21"/>
        </w:rPr>
        <w:t xml:space="preserve">CAUSE: not a fault. The reading was correctly labelled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behavioural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behaviour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2026-09-01T15:48:34.047Z</dcterms:created>
  <dcterms:modified xsi:type="dcterms:W3CDTF">2026-09-01T15:48:34.047Z</dcterms:modified>
</cp:coreProperties>
</file>

<file path=docProps/custom.xml><?xml version="1.0" encoding="utf-8"?>
<Properties xmlns="http://schemas.openxmlformats.org/officeDocument/2006/custom-properties" xmlns:vt="http://schemas.openxmlformats.org/officeDocument/2006/docPropsVTypes"/>
</file>