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and that the lane fact travels WITH the route it describes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respawns as the new vessel (proved by the energy gauge changing type, which a renamed profile cannot fake),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2026-08-09T04:01:19.546Z</dcterms:created>
  <dcterms:modified xsi:type="dcterms:W3CDTF">2026-08-09T04:01:19.546Z</dcterms:modified>
</cp:coreProperties>
</file>

<file path=docProps/custom.xml><?xml version="1.0" encoding="utf-8"?>
<Properties xmlns="http://schemas.openxmlformats.org/officeDocument/2006/custom-properties" xmlns:vt="http://schemas.openxmlformats.org/officeDocument/2006/docPropsVTypes"/>
</file>