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Environment (</w:t>
            </w:r>
            <w:r>
              <w:rPr>
                <w:rFonts w:ascii="Consolas" w:cs="Consolas" w:eastAsia="Consolas" w:hAnsi="Consolas"/>
                <w:color w:val="1a1a1a"/>
                <w:sz w:val="19"/>
                <w:szCs w:val="19"/>
              </w:rPr>
              <w:t xml:space="preserve">ENV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Wind and sea state, live or overridden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The ENC cell and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and that the lane fact travels WITH the route it describes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(undocumented — add an entry to GUARDS in tools/build_tech_manual.js)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2026-08-05T03:09:52.301Z</dcterms:created>
  <dcterms:modified xsi:type="dcterms:W3CDTF">2026-08-05T03:09:52.301Z</dcterms:modified>
</cp:coreProperties>
</file>

<file path=docProps/custom.xml><?xml version="1.0" encoding="utf-8"?>
<Properties xmlns="http://schemas.openxmlformats.org/officeDocument/2006/custom-properties" xmlns:vt="http://schemas.openxmlformats.org/officeDocument/2006/docPropsVTypes"/>
</file>