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respawns as the new vessel (proved by the energy gauge changing type, which a renamed profile cannot fake),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trusts only the vessel's LIVE fix - not the request body, and not a dead link's last telemetry, which used to make Home a place the boat no longer was and Return-to-Home a destination taken from a simulation - that Return-to-Home closes on that home,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and that the menu's vessel commands are gated by the buttons that already own them rather than by a second copy of the rule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2026-08-09T01:26:04.017Z</dcterms:created>
  <dcterms:modified xsi:type="dcterms:W3CDTF">2026-08-09T01:26:04.017Z</dcterms:modified>
</cp:coreProperties>
</file>

<file path=docProps/custom.xml><?xml version="1.0" encoding="utf-8"?>
<Properties xmlns="http://schemas.openxmlformats.org/officeDocument/2006/custom-properties" xmlns:vt="http://schemas.openxmlformats.org/officeDocument/2006/docPropsVTypes"/>
</file>