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wind_area_side_m2</w:t>
            </w:r>
            <w:r>
              <w:rPr>
                <w:b w:val="false"/>
                <w:bCs w:val="false"/>
                <w:color w:val="1a1a1a"/>
                <w:sz w:val="19"/>
                <w:szCs w:val="19"/>
              </w:rPr>
              <w:t xml:space="preserve"> and </w:t>
            </w:r>
            <w:r>
              <w:rPr>
                <w:rFonts w:ascii="Consolas" w:cs="Consolas" w:eastAsia="Consolas" w:hAnsi="Consolas"/>
                <w:color w:val="1a1a1a"/>
                <w:sz w:val="19"/>
                <w:szCs w:val="19"/>
              </w:rPr>
              <w:t xml:space="preserve">wind_area_front_m2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WIND'S AREAS ARE MEASURED WHERE A HULL NEEDS IT (9 October 2026). The wind force acts on the side area times the sine of the apparent wind's angle off the bow plus the front area times its cosine. Both used to be one above-water height times the length or the beam, which cannot describe a long low hull under a tall narrow mast. The DriX H-8 stands about 2.76 m above water to its mast tips, but measured from photographs - a near-broadside NOAA photograph of the vessel afloat, scaled by the red crown's height (2.38 m above water, from iXblue's data sheet and a second photograph), plus what the H-8 adds - the wind sees about 4.9 square meters side-on and 1.8 end-on, where the estimated 1.0 m height made them 7.7 and 0.82. So a hull file may give </w:t>
      </w:r>
      <w:r>
        <w:rPr>
          <w:rFonts w:ascii="Consolas" w:cs="Consolas" w:eastAsia="Consolas" w:hAnsi="Consolas"/>
          <w:color w:val="1a1a1a"/>
          <w:sz w:val="20"/>
          <w:szCs w:val="20"/>
        </w:rPr>
        <w:t xml:space="preserve">wind_area_side_m2</w:t>
      </w:r>
      <w:r>
        <w:rPr>
          <w:color w:val="1a1a1a"/>
          <w:sz w:val="21"/>
          <w:szCs w:val="21"/>
        </w:rPr>
        <w:t xml:space="preserve"> and </w:t>
      </w:r>
      <w:r>
        <w:rPr>
          <w:rFonts w:ascii="Consolas" w:cs="Consolas" w:eastAsia="Consolas" w:hAnsi="Consolas"/>
          <w:color w:val="1a1a1a"/>
          <w:sz w:val="20"/>
          <w:szCs w:val="20"/>
        </w:rPr>
        <w:t xml:space="preserve">wind_area_front_m2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either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neither keeps the old rule. The DriX's </w:t>
      </w:r>
      <w:r>
        <w:rPr>
          <w:rFonts w:ascii="Consolas" w:cs="Consolas" w:eastAsia="Consolas" w:hAnsi="Consolas"/>
          <w:color w:val="1a1a1a"/>
          <w:sz w:val="20"/>
          <w:szCs w:val="20"/>
        </w:rPr>
        <w:t xml:space="preserve">wind_source</w:t>
      </w:r>
      <w:r>
        <w:rPr>
          <w:color w:val="1a1a1a"/>
          <w:sz w:val="21"/>
          <w:szCs w:val="21"/>
        </w:rPr>
        <w:t xml:space="preserve"> records the measurement and its ranges (side 4.3 to 5.4, front 1.5 to 2.1 square meters). With them a stopped DriX drifts 1.65 times faster beam-on than head-on, where one height made it 3.06.</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can be its measured side and front areas (Andy, 2026-10-09: 'fix the DriX windage height in the vessel file'): the DriX's 4.9 and 1.8 square meters published as the wind's areas, while the hulls that give none keep length and beam times their one height, computed from their own files; an area that is zero, negative, text, a boolean or null refused in words naming the field, and one given alone leaving the other to the old rule; and on the hull, a stopped DriX's first-tick leeway in a steady wind equal to the drag balance on the side area beam-on and the front area head-on, 1.65 times faster beam-on.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2026-10-10T00:53:12.096Z</dcterms:created>
  <dcterms:modified xsi:type="dcterms:W3CDTF">2026-10-10T00:53:12.096Z</dcterms:modified>
</cp:coreProperties>
</file>

<file path=docProps/custom.xml><?xml version="1.0" encoding="utf-8"?>
<Properties xmlns="http://schemas.openxmlformats.org/officeDocument/2006/custom-properties" xmlns:vt="http://schemas.openxmlformats.org/officeDocument/2006/docPropsVTypes"/>
</file>