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spacing w:after="40"/>
        <w:jc w:val="center"/>
      </w:pPr>
      <w:r>
        <w:rPr>
          <w:rFonts w:ascii="Arial" w:hAnsi="Arial"/>
          <w:b/>
          <w:i w:val="0"/>
          <w:color w:val="1F3B60"/>
          <w:sz w:val="48"/>
        </w:rPr>
        <w:t>DriX-8 Fuel Gauge</w:t>
      </w:r>
    </w:p>
    <w:p>
      <w:pPr>
        <w:spacing w:after="560"/>
        <w:jc w:val="center"/>
      </w:pPr>
      <w:r>
        <w:rPr>
          <w:rFonts w:ascii="Arial" w:hAnsi="Arial"/>
          <w:b w:val="0"/>
          <w:i/>
          <w:color w:val="5B6B7A"/>
          <w:sz w:val="28"/>
        </w:rPr>
        <w:t>Linearity, Scale and What the Reserve Is Worth</w:t>
      </w:r>
    </w:p>
    <w:p>
      <w:pPr>
        <w:spacing w:after="80"/>
        <w:jc w:val="center"/>
      </w:pPr>
      <w:r>
        <w:rPr>
          <w:rFonts w:ascii="Arial" w:hAnsi="Arial"/>
          <w:b w:val="0"/>
          <w:i w:val="0"/>
          <w:color w:val="5B6B7A"/>
          <w:sz w:val="22"/>
        </w:rPr>
        <w:t>6 operating days measured against the flow meter · 211.5 L over 90 indicated points</w:t>
      </w:r>
    </w:p>
    <w:p>
      <w:pPr>
        <w:spacing w:after="680"/>
        <w:jc w:val="center"/>
      </w:pPr>
      <w:r>
        <w:rPr>
          <w:rFonts w:ascii="Arial" w:hAnsi="Arial"/>
          <w:b w:val="0"/>
          <w:i w:val="0"/>
          <w:color w:val="5B6B7A"/>
          <w:sz w:val="20"/>
        </w:rPr>
        <w:t>15 August 2026</w:t>
      </w: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The short version</w:t>
            </w:r>
          </w:p>
          <w:p>
            <w:pPr>
              <w:spacing w:after="40"/>
            </w:pPr>
            <w:r>
              <w:rPr>
                <w:rFonts w:ascii="Arial" w:hAnsi="Arial"/>
                <w:sz w:val="18"/>
              </w:rPr>
              <w:t>The gauge does not read litres. Over the 37–100% band it delivers 2.34 ± 0.16 litres per indicated point, against 2.50 for a linear 250 L tank — 1 sigma below, and in close agreement with the independent DD2024 refuel figure of 2.09. That is a solid result and it points at a usable capacity near 234 L. Whether the gauge is also NON-LINEAR — reading different litres-per-point at different levels — is NOT established by this data, and an earlier reading of these same days overstated it. Section 5 sets that record straight.</w:t>
            </w:r>
          </w:p>
        </w:tc>
      </w:tr>
    </w:tbl>
    <w:p>
      <w:pPr>
        <w:pStyle w:val="Heading1"/>
      </w:pPr>
      <w:r>
        <w:t>1.  Why this matters</w:t>
      </w:r>
    </w:p>
    <w:p>
      <w:pPr>
        <w:spacing w:after="120"/>
      </w:pPr>
      <w:r>
        <w:rPr>
          <w:rFonts w:ascii="Arial" w:hAnsi="Arial"/>
          <w:b w:val="0"/>
          <w:i w:val="0"/>
          <w:sz w:val="20"/>
        </w:rPr>
        <w:t>Two operating decisions rest on the gauge, and both are quantitative.</w:t>
      </w:r>
    </w:p>
    <w:p>
      <w:pPr>
        <w:pStyle w:val="ListBullet"/>
        <w:spacing w:after="60"/>
      </w:pPr>
      <w:r>
        <w:rPr>
          <w:rFonts w:ascii="Arial" w:hAnsi="Arial"/>
          <w:b/>
          <w:sz w:val="20"/>
        </w:rPr>
        <w:t xml:space="preserve">The 25% return-to-port reserve is expressed in indicated percent. </w:t>
      </w:r>
      <w:r>
        <w:rPr>
          <w:rFonts w:ascii="Arial" w:hAnsi="Arial"/>
          <w:sz w:val="20"/>
        </w:rPr>
        <w:t>If a point is not a fixed number of litres, then "25%" is not a fixed amount of fuel — and the reserve is either more or less protective than intended, without anyone being able to tell from the wheelhouse.</w:t>
      </w:r>
    </w:p>
    <w:p>
      <w:pPr>
        <w:pStyle w:val="ListBullet"/>
        <w:spacing w:after="60"/>
      </w:pPr>
      <w:r>
        <w:rPr>
          <w:rFonts w:ascii="Arial" w:hAnsi="Arial"/>
          <w:b/>
          <w:sz w:val="20"/>
        </w:rPr>
        <w:t xml:space="preserve">Endurance predictions scale directly with usable capacity. </w:t>
      </w:r>
      <w:r>
        <w:rPr>
          <w:rFonts w:ascii="Arial" w:hAnsi="Arial"/>
          <w:sz w:val="20"/>
        </w:rPr>
        <w:t>Range and hours-remaining are computed as usable litres times efficiency. Take the capacity wrong and every planning number inherits the error, in proportion.</w:t>
      </w:r>
    </w:p>
    <w:p>
      <w:pPr>
        <w:spacing w:after="120"/>
      </w:pPr>
      <w:r>
        <w:rPr>
          <w:rFonts w:ascii="Arial" w:hAnsi="Arial"/>
          <w:b w:val="0"/>
          <w:i w:val="0"/>
          <w:sz w:val="20"/>
        </w:rPr>
        <w:t>The gauge is also the only fuel instrument available on a vehicle without a working flow meter, so understanding its behaviour transfers to hulls that cannot be measured this way.</w:t>
      </w:r>
    </w:p>
    <w:p>
      <w:pPr>
        <w:pStyle w:val="Heading1"/>
      </w:pPr>
      <w:r>
        <w:t>2.  Method</w:t>
      </w:r>
    </w:p>
    <w:p>
      <w:pPr>
        <w:spacing w:after="120"/>
      </w:pPr>
      <w:r>
        <w:rPr>
          <w:rFonts w:ascii="Arial" w:hAnsi="Arial"/>
          <w:b w:val="0"/>
          <w:i w:val="0"/>
          <w:sz w:val="20"/>
        </w:rPr>
        <w:t>The flow meter is used as the ruler. It measures litres directly and is independent of the gauge, so comparing the two isolates the gauge's behaviour without assuming a tank volume or a fuel model anywhere in the chain.</w:t>
      </w:r>
    </w:p>
    <w:p>
      <w:pPr>
        <w:spacing w:before="80" w:after="160"/>
        <w:ind w:left="432"/>
      </w:pPr>
      <w:r>
        <w:rPr>
          <w:rFonts w:ascii="Consolas" w:hAnsi="Consolas"/>
          <w:b/>
          <w:sz w:val="19"/>
        </w:rPr>
        <w:t>litres per indicated point  =  ∫ fuel_rate dt  ÷  Δ indicated %</w:t>
      </w:r>
    </w:p>
    <w:p>
      <w:pPr>
        <w:spacing w:after="120"/>
      </w:pPr>
      <w:r>
        <w:rPr>
          <w:rFonts w:ascii="Arial" w:hAnsi="Arial"/>
          <w:b w:val="0"/>
          <w:i w:val="0"/>
          <w:sz w:val="20"/>
        </w:rPr>
        <w:t>Two details do the work. Fuel rate is integrated over each day with gaps longer than 30 s excluded, so a recording break cannot inflate the total. And each end of the gauge span is taken as a ten-minute median rather than a single reading, because the gauge is quantised to whole percent and bounces by a point or more as fuel moves in the tank.</w:t>
      </w:r>
    </w:p>
    <w:p>
      <w:pPr>
        <w:spacing w:after="120"/>
      </w:pPr>
      <w:r>
        <w:rPr>
          <w:rFonts w:ascii="Arial" w:hAnsi="Arial"/>
          <w:b w:val="0"/>
          <w:i w:val="0"/>
          <w:sz w:val="20"/>
        </w:rPr>
        <w:t>Spans burning less than 2 L are excluded from the calibration entirely. On an idle stretch the gauge still wanders a point or two on essentially no fuel, and letting one anchor an end moves the answer by roughly a tenth for no physical reason.</w:t>
      </w: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A drawdown, not a day</w:t>
            </w:r>
          </w:p>
          <w:p>
            <w:pPr>
              <w:spacing w:after="40"/>
            </w:pPr>
            <w:r>
              <w:rPr>
                <w:rFonts w:ascii="Arial" w:hAnsi="Arial"/>
                <w:sz w:val="18"/>
              </w:rPr>
              <w:t>Litres per point is a slope down a FALLING level, so it is only defined while the level falls. Until August 2026 the recorded data happened to be one long descent and each day could be read end to end. It is not any more: the vehicle was refuelled twice inside the record, once mid-session. Measured as whole days that yields a NEGATIVE litres-per-point for a refuelled day and a pooled figure several times the truth. Every session is therefore cut at each refill, and the 17 falling stretches below are the measurements. None spans a refill; none spans two sessions.</w:t>
            </w:r>
          </w:p>
        </w:tc>
      </w:tr>
    </w:tbl>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656"/>
            <w:shd w:val="clear" w:color="auto" w:fill="1F3B60"/>
          </w:tcPr>
          <w:p>
            <w:pPr>
              <w:spacing w:after="40"/>
            </w:pPr>
            <w:r/>
            <w:r>
              <w:rPr>
                <w:rFonts w:ascii="Arial" w:hAnsi="Arial"/>
                <w:b/>
                <w:color w:val="FFFFFF"/>
                <w:sz w:val="17"/>
              </w:rPr>
              <w:t>Session</w:t>
            </w:r>
          </w:p>
        </w:tc>
        <w:tc>
          <w:tcPr>
            <w:tcW w:type="dxa" w:w="1656"/>
            <w:shd w:val="clear" w:color="auto" w:fill="1F3B60"/>
          </w:tcPr>
          <w:p>
            <w:pPr>
              <w:spacing w:after="40"/>
              <w:jc w:val="right"/>
            </w:pPr>
            <w:r/>
            <w:r>
              <w:rPr>
                <w:rFonts w:ascii="Arial" w:hAnsi="Arial"/>
                <w:b/>
                <w:color w:val="FFFFFF"/>
                <w:sz w:val="17"/>
              </w:rPr>
              <w:t>Metered litres</w:t>
            </w:r>
          </w:p>
        </w:tc>
        <w:tc>
          <w:tcPr>
            <w:tcW w:type="dxa" w:w="1440"/>
            <w:shd w:val="clear" w:color="auto" w:fill="1F3B60"/>
          </w:tcPr>
          <w:p>
            <w:pPr>
              <w:spacing w:after="40"/>
              <w:jc w:val="right"/>
            </w:pPr>
            <w:r/>
            <w:r>
              <w:rPr>
                <w:rFonts w:ascii="Arial" w:hAnsi="Arial"/>
                <w:b/>
                <w:color w:val="FFFFFF"/>
                <w:sz w:val="17"/>
              </w:rPr>
              <w:t>Gauge span</w:t>
            </w:r>
          </w:p>
        </w:tc>
        <w:tc>
          <w:tcPr>
            <w:tcW w:type="dxa" w:w="936"/>
            <w:shd w:val="clear" w:color="auto" w:fill="1F3B60"/>
          </w:tcPr>
          <w:p>
            <w:pPr>
              <w:spacing w:after="40"/>
              <w:jc w:val="right"/>
            </w:pPr>
            <w:r/>
            <w:r>
              <w:rPr>
                <w:rFonts w:ascii="Arial" w:hAnsi="Arial"/>
                <w:b/>
                <w:color w:val="FFFFFF"/>
                <w:sz w:val="17"/>
              </w:rPr>
              <w:t>Points</w:t>
            </w:r>
          </w:p>
        </w:tc>
        <w:tc>
          <w:tcPr>
            <w:tcW w:type="dxa" w:w="1440"/>
            <w:shd w:val="clear" w:color="auto" w:fill="1F3B60"/>
          </w:tcPr>
          <w:p>
            <w:pPr>
              <w:spacing w:after="40"/>
              <w:jc w:val="right"/>
            </w:pPr>
            <w:r/>
            <w:r>
              <w:rPr>
                <w:rFonts w:ascii="Arial" w:hAnsi="Arial"/>
                <w:b/>
                <w:color w:val="FFFFFF"/>
                <w:sz w:val="17"/>
              </w:rPr>
              <w:t>L per point</w:t>
            </w:r>
          </w:p>
        </w:tc>
        <w:tc>
          <w:tcPr>
            <w:tcW w:type="dxa" w:w="1512"/>
            <w:shd w:val="clear" w:color="auto" w:fill="1F3B60"/>
          </w:tcPr>
          <w:p>
            <w:pPr>
              <w:spacing w:after="40"/>
              <w:jc w:val="right"/>
            </w:pPr>
            <w:r/>
            <w:r>
              <w:rPr>
                <w:rFonts w:ascii="Arial" w:hAnsi="Arial"/>
                <w:b/>
                <w:color w:val="FFFFFF"/>
                <w:sz w:val="17"/>
              </w:rPr>
              <w:t>Uncertainty</w:t>
            </w:r>
          </w:p>
        </w:tc>
      </w:tr>
      <w:tr>
        <w:tc>
          <w:tcPr>
            <w:tcW w:type="dxa" w:w="1656"/>
          </w:tcPr>
          <w:p>
            <w:pPr>
              <w:spacing w:after="40"/>
            </w:pPr>
            <w:r/>
            <w:r>
              <w:rPr>
                <w:rFonts w:ascii="Arial" w:hAnsi="Arial"/>
                <w:sz w:val="17"/>
              </w:rPr>
              <w:t>2026-08-15</w:t>
            </w:r>
          </w:p>
        </w:tc>
        <w:tc>
          <w:tcPr>
            <w:tcW w:type="dxa" w:w="1656"/>
          </w:tcPr>
          <w:p>
            <w:pPr>
              <w:spacing w:after="40"/>
              <w:jc w:val="right"/>
            </w:pPr>
            <w:r/>
            <w:r>
              <w:rPr>
                <w:rFonts w:ascii="Arial" w:hAnsi="Arial"/>
                <w:sz w:val="17"/>
              </w:rPr>
              <w:t>26.23</w:t>
            </w:r>
          </w:p>
        </w:tc>
        <w:tc>
          <w:tcPr>
            <w:tcW w:type="dxa" w:w="1440"/>
          </w:tcPr>
          <w:p>
            <w:pPr>
              <w:spacing w:after="40"/>
              <w:jc w:val="right"/>
            </w:pPr>
            <w:r/>
            <w:r>
              <w:rPr>
                <w:rFonts w:ascii="Arial" w:hAnsi="Arial"/>
                <w:sz w:val="17"/>
              </w:rPr>
              <w:t>84–93%</w:t>
            </w:r>
          </w:p>
        </w:tc>
        <w:tc>
          <w:tcPr>
            <w:tcW w:type="dxa" w:w="936"/>
          </w:tcPr>
          <w:p>
            <w:pPr>
              <w:spacing w:after="40"/>
              <w:jc w:val="right"/>
            </w:pPr>
            <w:r/>
            <w:r>
              <w:rPr>
                <w:rFonts w:ascii="Arial" w:hAnsi="Arial"/>
                <w:sz w:val="17"/>
              </w:rPr>
              <w:t>9.4</w:t>
            </w:r>
          </w:p>
        </w:tc>
        <w:tc>
          <w:tcPr>
            <w:tcW w:type="dxa" w:w="1440"/>
          </w:tcPr>
          <w:p>
            <w:pPr>
              <w:spacing w:after="40"/>
              <w:jc w:val="right"/>
            </w:pPr>
            <w:r/>
            <w:r>
              <w:rPr>
                <w:rFonts w:ascii="Arial" w:hAnsi="Arial"/>
                <w:sz w:val="17"/>
              </w:rPr>
              <w:t>2.80</w:t>
            </w:r>
          </w:p>
        </w:tc>
        <w:tc>
          <w:tcPr>
            <w:tcW w:type="dxa" w:w="1512"/>
          </w:tcPr>
          <w:p>
            <w:pPr>
              <w:spacing w:after="40"/>
              <w:jc w:val="right"/>
            </w:pPr>
            <w:r/>
            <w:r>
              <w:rPr>
                <w:rFonts w:ascii="Arial" w:hAnsi="Arial"/>
                <w:sz w:val="17"/>
              </w:rPr>
              <w:t>± 0.21</w:t>
            </w:r>
          </w:p>
        </w:tc>
      </w:tr>
      <w:tr>
        <w:tc>
          <w:tcPr>
            <w:tcW w:type="dxa" w:w="1656"/>
            <w:shd w:val="clear" w:color="auto" w:fill="F2F5F8"/>
          </w:tcPr>
          <w:p>
            <w:pPr>
              <w:spacing w:after="40"/>
            </w:pPr>
            <w:r/>
            <w:r>
              <w:rPr>
                <w:rFonts w:ascii="Arial" w:hAnsi="Arial"/>
                <w:sz w:val="17"/>
              </w:rPr>
              <w:t>2026-08-14</w:t>
            </w:r>
          </w:p>
        </w:tc>
        <w:tc>
          <w:tcPr>
            <w:tcW w:type="dxa" w:w="1656"/>
            <w:shd w:val="clear" w:color="auto" w:fill="F2F5F8"/>
          </w:tcPr>
          <w:p>
            <w:pPr>
              <w:spacing w:after="40"/>
              <w:jc w:val="right"/>
            </w:pPr>
            <w:r/>
            <w:r>
              <w:rPr>
                <w:rFonts w:ascii="Arial" w:hAnsi="Arial"/>
                <w:sz w:val="17"/>
              </w:rPr>
              <w:t>16.29</w:t>
            </w:r>
          </w:p>
        </w:tc>
        <w:tc>
          <w:tcPr>
            <w:tcW w:type="dxa" w:w="1440"/>
            <w:shd w:val="clear" w:color="auto" w:fill="F2F5F8"/>
          </w:tcPr>
          <w:p>
            <w:pPr>
              <w:spacing w:after="40"/>
              <w:jc w:val="right"/>
            </w:pPr>
            <w:r/>
            <w:r>
              <w:rPr>
                <w:rFonts w:ascii="Arial" w:hAnsi="Arial"/>
                <w:sz w:val="17"/>
              </w:rPr>
              <w:t>37–46%</w:t>
            </w:r>
          </w:p>
        </w:tc>
        <w:tc>
          <w:tcPr>
            <w:tcW w:type="dxa" w:w="936"/>
            <w:shd w:val="clear" w:color="auto" w:fill="F2F5F8"/>
          </w:tcPr>
          <w:p>
            <w:pPr>
              <w:spacing w:after="40"/>
              <w:jc w:val="right"/>
            </w:pPr>
            <w:r/>
            <w:r>
              <w:rPr>
                <w:rFonts w:ascii="Arial" w:hAnsi="Arial"/>
                <w:sz w:val="17"/>
              </w:rPr>
              <w:t>8.9</w:t>
            </w:r>
          </w:p>
        </w:tc>
        <w:tc>
          <w:tcPr>
            <w:tcW w:type="dxa" w:w="1440"/>
            <w:shd w:val="clear" w:color="auto" w:fill="F2F5F8"/>
          </w:tcPr>
          <w:p>
            <w:pPr>
              <w:spacing w:after="40"/>
              <w:jc w:val="right"/>
            </w:pPr>
            <w:r/>
            <w:r>
              <w:rPr>
                <w:rFonts w:ascii="Arial" w:hAnsi="Arial"/>
                <w:sz w:val="17"/>
              </w:rPr>
              <w:t>1.83</w:t>
            </w:r>
          </w:p>
        </w:tc>
        <w:tc>
          <w:tcPr>
            <w:tcW w:type="dxa" w:w="1512"/>
            <w:shd w:val="clear" w:color="auto" w:fill="F2F5F8"/>
          </w:tcPr>
          <w:p>
            <w:pPr>
              <w:spacing w:after="40"/>
              <w:jc w:val="right"/>
            </w:pPr>
            <w:r/>
            <w:r>
              <w:rPr>
                <w:rFonts w:ascii="Arial" w:hAnsi="Arial"/>
                <w:sz w:val="17"/>
              </w:rPr>
              <w:t>± 0.14</w:t>
            </w:r>
          </w:p>
        </w:tc>
      </w:tr>
      <w:tr>
        <w:tc>
          <w:tcPr>
            <w:tcW w:type="dxa" w:w="1656"/>
          </w:tcPr>
          <w:p>
            <w:pPr>
              <w:spacing w:after="40"/>
            </w:pPr>
            <w:r/>
            <w:r>
              <w:rPr>
                <w:rFonts w:ascii="Arial" w:hAnsi="Arial"/>
                <w:sz w:val="17"/>
              </w:rPr>
              <w:t>2026-08-14</w:t>
            </w:r>
          </w:p>
        </w:tc>
        <w:tc>
          <w:tcPr>
            <w:tcW w:type="dxa" w:w="1656"/>
          </w:tcPr>
          <w:p>
            <w:pPr>
              <w:spacing w:after="40"/>
              <w:jc w:val="right"/>
            </w:pPr>
            <w:r/>
            <w:r>
              <w:rPr>
                <w:rFonts w:ascii="Arial" w:hAnsi="Arial"/>
                <w:sz w:val="17"/>
              </w:rPr>
              <w:t>20.18</w:t>
            </w:r>
          </w:p>
        </w:tc>
        <w:tc>
          <w:tcPr>
            <w:tcW w:type="dxa" w:w="1440"/>
          </w:tcPr>
          <w:p>
            <w:pPr>
              <w:spacing w:after="40"/>
              <w:jc w:val="right"/>
            </w:pPr>
            <w:r/>
            <w:r>
              <w:rPr>
                <w:rFonts w:ascii="Arial" w:hAnsi="Arial"/>
                <w:sz w:val="17"/>
              </w:rPr>
              <w:t>46–54%</w:t>
            </w:r>
          </w:p>
        </w:tc>
        <w:tc>
          <w:tcPr>
            <w:tcW w:type="dxa" w:w="936"/>
          </w:tcPr>
          <w:p>
            <w:pPr>
              <w:spacing w:after="40"/>
              <w:jc w:val="right"/>
            </w:pPr>
            <w:r/>
            <w:r>
              <w:rPr>
                <w:rFonts w:ascii="Arial" w:hAnsi="Arial"/>
                <w:sz w:val="17"/>
              </w:rPr>
              <w:t>7.6</w:t>
            </w:r>
          </w:p>
        </w:tc>
        <w:tc>
          <w:tcPr>
            <w:tcW w:type="dxa" w:w="1440"/>
          </w:tcPr>
          <w:p>
            <w:pPr>
              <w:spacing w:after="40"/>
              <w:jc w:val="right"/>
            </w:pPr>
            <w:r/>
            <w:r>
              <w:rPr>
                <w:rFonts w:ascii="Arial" w:hAnsi="Arial"/>
                <w:sz w:val="17"/>
              </w:rPr>
              <w:t>2.66</w:t>
            </w:r>
          </w:p>
        </w:tc>
        <w:tc>
          <w:tcPr>
            <w:tcW w:type="dxa" w:w="1512"/>
          </w:tcPr>
          <w:p>
            <w:pPr>
              <w:spacing w:after="40"/>
              <w:jc w:val="right"/>
            </w:pPr>
            <w:r/>
            <w:r>
              <w:rPr>
                <w:rFonts w:ascii="Arial" w:hAnsi="Arial"/>
                <w:sz w:val="17"/>
              </w:rPr>
              <w:t>± 0.25</w:t>
            </w:r>
          </w:p>
        </w:tc>
      </w:tr>
      <w:tr>
        <w:tc>
          <w:tcPr>
            <w:tcW w:type="dxa" w:w="1656"/>
            <w:shd w:val="clear" w:color="auto" w:fill="F2F5F8"/>
          </w:tcPr>
          <w:p>
            <w:pPr>
              <w:spacing w:after="40"/>
            </w:pPr>
            <w:r/>
            <w:r>
              <w:rPr>
                <w:rFonts w:ascii="Arial" w:hAnsi="Arial"/>
                <w:sz w:val="17"/>
              </w:rPr>
              <w:t>2026-08-11T16</w:t>
            </w:r>
          </w:p>
        </w:tc>
        <w:tc>
          <w:tcPr>
            <w:tcW w:type="dxa" w:w="1656"/>
            <w:shd w:val="clear" w:color="auto" w:fill="F2F5F8"/>
          </w:tcPr>
          <w:p>
            <w:pPr>
              <w:spacing w:after="40"/>
              <w:jc w:val="right"/>
            </w:pPr>
            <w:r/>
            <w:r>
              <w:rPr>
                <w:rFonts w:ascii="Arial" w:hAnsi="Arial"/>
                <w:sz w:val="17"/>
              </w:rPr>
              <w:t>15.42</w:t>
            </w:r>
          </w:p>
        </w:tc>
        <w:tc>
          <w:tcPr>
            <w:tcW w:type="dxa" w:w="1440"/>
            <w:shd w:val="clear" w:color="auto" w:fill="F2F5F8"/>
          </w:tcPr>
          <w:p>
            <w:pPr>
              <w:spacing w:after="40"/>
              <w:jc w:val="right"/>
            </w:pPr>
            <w:r/>
            <w:r>
              <w:rPr>
                <w:rFonts w:ascii="Arial" w:hAnsi="Arial"/>
                <w:sz w:val="17"/>
              </w:rPr>
              <w:t>89–96%</w:t>
            </w:r>
          </w:p>
        </w:tc>
        <w:tc>
          <w:tcPr>
            <w:tcW w:type="dxa" w:w="936"/>
            <w:shd w:val="clear" w:color="auto" w:fill="F2F5F8"/>
          </w:tcPr>
          <w:p>
            <w:pPr>
              <w:spacing w:after="40"/>
              <w:jc w:val="right"/>
            </w:pPr>
            <w:r/>
            <w:r>
              <w:rPr>
                <w:rFonts w:ascii="Arial" w:hAnsi="Arial"/>
                <w:sz w:val="17"/>
              </w:rPr>
              <w:t>7.0</w:t>
            </w:r>
          </w:p>
        </w:tc>
        <w:tc>
          <w:tcPr>
            <w:tcW w:type="dxa" w:w="1440"/>
            <w:shd w:val="clear" w:color="auto" w:fill="F2F5F8"/>
          </w:tcPr>
          <w:p>
            <w:pPr>
              <w:spacing w:after="40"/>
              <w:jc w:val="right"/>
            </w:pPr>
            <w:r/>
            <w:r>
              <w:rPr>
                <w:rFonts w:ascii="Arial" w:hAnsi="Arial"/>
                <w:sz w:val="17"/>
              </w:rPr>
              <w:t>2.20</w:t>
            </w:r>
          </w:p>
        </w:tc>
        <w:tc>
          <w:tcPr>
            <w:tcW w:type="dxa" w:w="1512"/>
            <w:shd w:val="clear" w:color="auto" w:fill="F2F5F8"/>
          </w:tcPr>
          <w:p>
            <w:pPr>
              <w:spacing w:after="40"/>
              <w:jc w:val="right"/>
            </w:pPr>
            <w:r/>
            <w:r>
              <w:rPr>
                <w:rFonts w:ascii="Arial" w:hAnsi="Arial"/>
                <w:sz w:val="17"/>
              </w:rPr>
              <w:t>± 0.22</w:t>
            </w:r>
          </w:p>
        </w:tc>
      </w:tr>
      <w:tr>
        <w:tc>
          <w:tcPr>
            <w:tcW w:type="dxa" w:w="1656"/>
          </w:tcPr>
          <w:p>
            <w:pPr>
              <w:spacing w:after="40"/>
            </w:pPr>
            <w:r/>
            <w:r>
              <w:rPr>
                <w:rFonts w:ascii="Arial" w:hAnsi="Arial"/>
                <w:sz w:val="17"/>
              </w:rPr>
              <w:t>2026-08-14</w:t>
            </w:r>
          </w:p>
        </w:tc>
        <w:tc>
          <w:tcPr>
            <w:tcW w:type="dxa" w:w="1656"/>
          </w:tcPr>
          <w:p>
            <w:pPr>
              <w:spacing w:after="40"/>
              <w:jc w:val="right"/>
            </w:pPr>
            <w:r/>
            <w:r>
              <w:rPr>
                <w:rFonts w:ascii="Arial" w:hAnsi="Arial"/>
                <w:sz w:val="17"/>
              </w:rPr>
              <w:t>25.48</w:t>
            </w:r>
          </w:p>
        </w:tc>
        <w:tc>
          <w:tcPr>
            <w:tcW w:type="dxa" w:w="1440"/>
          </w:tcPr>
          <w:p>
            <w:pPr>
              <w:spacing w:after="40"/>
              <w:jc w:val="right"/>
            </w:pPr>
            <w:r/>
            <w:r>
              <w:rPr>
                <w:rFonts w:ascii="Arial" w:hAnsi="Arial"/>
                <w:sz w:val="17"/>
              </w:rPr>
              <w:t>93–100%</w:t>
            </w:r>
          </w:p>
        </w:tc>
        <w:tc>
          <w:tcPr>
            <w:tcW w:type="dxa" w:w="936"/>
          </w:tcPr>
          <w:p>
            <w:pPr>
              <w:spacing w:after="40"/>
              <w:jc w:val="right"/>
            </w:pPr>
            <w:r/>
            <w:r>
              <w:rPr>
                <w:rFonts w:ascii="Arial" w:hAnsi="Arial"/>
                <w:sz w:val="17"/>
              </w:rPr>
              <w:t>7.0</w:t>
            </w:r>
          </w:p>
        </w:tc>
        <w:tc>
          <w:tcPr>
            <w:tcW w:type="dxa" w:w="1440"/>
          </w:tcPr>
          <w:p>
            <w:pPr>
              <w:spacing w:after="40"/>
              <w:jc w:val="right"/>
            </w:pPr>
            <w:r/>
            <w:r>
              <w:rPr>
                <w:rFonts w:ascii="Arial" w:hAnsi="Arial"/>
                <w:sz w:val="17"/>
              </w:rPr>
              <w:t>3.64</w:t>
            </w:r>
          </w:p>
        </w:tc>
        <w:tc>
          <w:tcPr>
            <w:tcW w:type="dxa" w:w="1512"/>
          </w:tcPr>
          <w:p>
            <w:pPr>
              <w:spacing w:after="40"/>
              <w:jc w:val="right"/>
            </w:pPr>
            <w:r/>
            <w:r>
              <w:rPr>
                <w:rFonts w:ascii="Arial" w:hAnsi="Arial"/>
                <w:sz w:val="17"/>
              </w:rPr>
              <w:t>± 0.36</w:t>
            </w:r>
          </w:p>
        </w:tc>
      </w:tr>
      <w:tr>
        <w:tc>
          <w:tcPr>
            <w:tcW w:type="dxa" w:w="1656"/>
            <w:shd w:val="clear" w:color="auto" w:fill="F2F5F8"/>
          </w:tcPr>
          <w:p>
            <w:pPr>
              <w:spacing w:after="40"/>
            </w:pPr>
            <w:r/>
            <w:r>
              <w:rPr>
                <w:rFonts w:ascii="Arial" w:hAnsi="Arial"/>
                <w:sz w:val="17"/>
              </w:rPr>
              <w:t>2026-08-13</w:t>
            </w:r>
          </w:p>
        </w:tc>
        <w:tc>
          <w:tcPr>
            <w:tcW w:type="dxa" w:w="1656"/>
            <w:shd w:val="clear" w:color="auto" w:fill="F2F5F8"/>
          </w:tcPr>
          <w:p>
            <w:pPr>
              <w:spacing w:after="40"/>
              <w:jc w:val="right"/>
            </w:pPr>
            <w:r/>
            <w:r>
              <w:rPr>
                <w:rFonts w:ascii="Arial" w:hAnsi="Arial"/>
                <w:sz w:val="17"/>
              </w:rPr>
              <w:t>15.96</w:t>
            </w:r>
          </w:p>
        </w:tc>
        <w:tc>
          <w:tcPr>
            <w:tcW w:type="dxa" w:w="1440"/>
            <w:shd w:val="clear" w:color="auto" w:fill="F2F5F8"/>
          </w:tcPr>
          <w:p>
            <w:pPr>
              <w:spacing w:after="40"/>
              <w:jc w:val="right"/>
            </w:pPr>
            <w:r/>
            <w:r>
              <w:rPr>
                <w:rFonts w:ascii="Arial" w:hAnsi="Arial"/>
                <w:sz w:val="17"/>
              </w:rPr>
              <w:t>62–69%</w:t>
            </w:r>
          </w:p>
        </w:tc>
        <w:tc>
          <w:tcPr>
            <w:tcW w:type="dxa" w:w="936"/>
            <w:shd w:val="clear" w:color="auto" w:fill="F2F5F8"/>
          </w:tcPr>
          <w:p>
            <w:pPr>
              <w:spacing w:after="40"/>
              <w:jc w:val="right"/>
            </w:pPr>
            <w:r/>
            <w:r>
              <w:rPr>
                <w:rFonts w:ascii="Arial" w:hAnsi="Arial"/>
                <w:sz w:val="17"/>
              </w:rPr>
              <w:t>6.9</w:t>
            </w:r>
          </w:p>
        </w:tc>
        <w:tc>
          <w:tcPr>
            <w:tcW w:type="dxa" w:w="1440"/>
            <w:shd w:val="clear" w:color="auto" w:fill="F2F5F8"/>
          </w:tcPr>
          <w:p>
            <w:pPr>
              <w:spacing w:after="40"/>
              <w:jc w:val="right"/>
            </w:pPr>
            <w:r/>
            <w:r>
              <w:rPr>
                <w:rFonts w:ascii="Arial" w:hAnsi="Arial"/>
                <w:sz w:val="17"/>
              </w:rPr>
              <w:t>2.31</w:t>
            </w:r>
          </w:p>
        </w:tc>
        <w:tc>
          <w:tcPr>
            <w:tcW w:type="dxa" w:w="1512"/>
            <w:shd w:val="clear" w:color="auto" w:fill="F2F5F8"/>
          </w:tcPr>
          <w:p>
            <w:pPr>
              <w:spacing w:after="40"/>
              <w:jc w:val="right"/>
            </w:pPr>
            <w:r/>
            <w:r>
              <w:rPr>
                <w:rFonts w:ascii="Arial" w:hAnsi="Arial"/>
                <w:sz w:val="17"/>
              </w:rPr>
              <w:t>± 0.23</w:t>
            </w:r>
          </w:p>
        </w:tc>
      </w:tr>
      <w:tr>
        <w:tc>
          <w:tcPr>
            <w:tcW w:type="dxa" w:w="1656"/>
          </w:tcPr>
          <w:p>
            <w:pPr>
              <w:spacing w:after="40"/>
            </w:pPr>
            <w:r/>
            <w:r>
              <w:rPr>
                <w:rFonts w:ascii="Arial" w:hAnsi="Arial"/>
                <w:sz w:val="17"/>
              </w:rPr>
              <w:t>2026-08-06</w:t>
            </w:r>
          </w:p>
        </w:tc>
        <w:tc>
          <w:tcPr>
            <w:tcW w:type="dxa" w:w="1656"/>
          </w:tcPr>
          <w:p>
            <w:pPr>
              <w:spacing w:after="40"/>
              <w:jc w:val="right"/>
            </w:pPr>
            <w:r/>
            <w:r>
              <w:rPr>
                <w:rFonts w:ascii="Arial" w:hAnsi="Arial"/>
                <w:sz w:val="17"/>
              </w:rPr>
              <w:t>6.09</w:t>
            </w:r>
          </w:p>
        </w:tc>
        <w:tc>
          <w:tcPr>
            <w:tcW w:type="dxa" w:w="1440"/>
          </w:tcPr>
          <w:p>
            <w:pPr>
              <w:spacing w:after="40"/>
              <w:jc w:val="right"/>
            </w:pPr>
            <w:r/>
            <w:r>
              <w:rPr>
                <w:rFonts w:ascii="Arial" w:hAnsi="Arial"/>
                <w:sz w:val="17"/>
              </w:rPr>
              <w:t>75–81%</w:t>
            </w:r>
          </w:p>
        </w:tc>
        <w:tc>
          <w:tcPr>
            <w:tcW w:type="dxa" w:w="936"/>
          </w:tcPr>
          <w:p>
            <w:pPr>
              <w:spacing w:after="40"/>
              <w:jc w:val="right"/>
            </w:pPr>
            <w:r/>
            <w:r>
              <w:rPr>
                <w:rFonts w:ascii="Arial" w:hAnsi="Arial"/>
                <w:sz w:val="17"/>
              </w:rPr>
              <w:t>6.0</w:t>
            </w:r>
          </w:p>
        </w:tc>
        <w:tc>
          <w:tcPr>
            <w:tcW w:type="dxa" w:w="1440"/>
          </w:tcPr>
          <w:p>
            <w:pPr>
              <w:spacing w:after="40"/>
              <w:jc w:val="right"/>
            </w:pPr>
            <w:r/>
            <w:r>
              <w:rPr>
                <w:rFonts w:ascii="Arial" w:hAnsi="Arial"/>
                <w:sz w:val="17"/>
              </w:rPr>
              <w:t>1.02</w:t>
            </w:r>
          </w:p>
        </w:tc>
        <w:tc>
          <w:tcPr>
            <w:tcW w:type="dxa" w:w="1512"/>
          </w:tcPr>
          <w:p>
            <w:pPr>
              <w:spacing w:after="40"/>
              <w:jc w:val="right"/>
            </w:pPr>
            <w:r/>
            <w:r>
              <w:rPr>
                <w:rFonts w:ascii="Arial" w:hAnsi="Arial"/>
                <w:sz w:val="17"/>
              </w:rPr>
              <w:t>± 0.12</w:t>
            </w:r>
          </w:p>
        </w:tc>
      </w:tr>
      <w:tr>
        <w:tc>
          <w:tcPr>
            <w:tcW w:type="dxa" w:w="1656"/>
            <w:shd w:val="clear" w:color="auto" w:fill="F2F5F8"/>
          </w:tcPr>
          <w:p>
            <w:pPr>
              <w:spacing w:after="40"/>
            </w:pPr>
            <w:r/>
            <w:r>
              <w:rPr>
                <w:rFonts w:ascii="Arial" w:hAnsi="Arial"/>
                <w:sz w:val="17"/>
              </w:rPr>
              <w:t>2026-08-13T11</w:t>
            </w:r>
          </w:p>
        </w:tc>
        <w:tc>
          <w:tcPr>
            <w:tcW w:type="dxa" w:w="1656"/>
            <w:shd w:val="clear" w:color="auto" w:fill="F2F5F8"/>
          </w:tcPr>
          <w:p>
            <w:pPr>
              <w:spacing w:after="40"/>
              <w:jc w:val="right"/>
            </w:pPr>
            <w:r/>
            <w:r>
              <w:rPr>
                <w:rFonts w:ascii="Arial" w:hAnsi="Arial"/>
                <w:sz w:val="17"/>
              </w:rPr>
              <w:t>10.84</w:t>
            </w:r>
          </w:p>
        </w:tc>
        <w:tc>
          <w:tcPr>
            <w:tcW w:type="dxa" w:w="1440"/>
            <w:shd w:val="clear" w:color="auto" w:fill="F2F5F8"/>
          </w:tcPr>
          <w:p>
            <w:pPr>
              <w:spacing w:after="40"/>
              <w:jc w:val="right"/>
            </w:pPr>
            <w:r/>
            <w:r>
              <w:rPr>
                <w:rFonts w:ascii="Arial" w:hAnsi="Arial"/>
                <w:sz w:val="17"/>
              </w:rPr>
              <w:t>53–58%</w:t>
            </w:r>
          </w:p>
        </w:tc>
        <w:tc>
          <w:tcPr>
            <w:tcW w:type="dxa" w:w="936"/>
            <w:shd w:val="clear" w:color="auto" w:fill="F2F5F8"/>
          </w:tcPr>
          <w:p>
            <w:pPr>
              <w:spacing w:after="40"/>
              <w:jc w:val="right"/>
            </w:pPr>
            <w:r/>
            <w:r>
              <w:rPr>
                <w:rFonts w:ascii="Arial" w:hAnsi="Arial"/>
                <w:sz w:val="17"/>
              </w:rPr>
              <w:t>5.3</w:t>
            </w:r>
          </w:p>
        </w:tc>
        <w:tc>
          <w:tcPr>
            <w:tcW w:type="dxa" w:w="1440"/>
            <w:shd w:val="clear" w:color="auto" w:fill="F2F5F8"/>
          </w:tcPr>
          <w:p>
            <w:pPr>
              <w:spacing w:after="40"/>
              <w:jc w:val="right"/>
            </w:pPr>
            <w:r/>
            <w:r>
              <w:rPr>
                <w:rFonts w:ascii="Arial" w:hAnsi="Arial"/>
                <w:sz w:val="17"/>
              </w:rPr>
              <w:t>2.04</w:t>
            </w:r>
          </w:p>
        </w:tc>
        <w:tc>
          <w:tcPr>
            <w:tcW w:type="dxa" w:w="1512"/>
            <w:shd w:val="clear" w:color="auto" w:fill="F2F5F8"/>
          </w:tcPr>
          <w:p>
            <w:pPr>
              <w:spacing w:after="40"/>
              <w:jc w:val="right"/>
            </w:pPr>
            <w:r/>
            <w:r>
              <w:rPr>
                <w:rFonts w:ascii="Arial" w:hAnsi="Arial"/>
                <w:sz w:val="17"/>
              </w:rPr>
              <w:t>± 0.27</w:t>
            </w:r>
          </w:p>
        </w:tc>
      </w:tr>
      <w:tr>
        <w:tc>
          <w:tcPr>
            <w:tcW w:type="dxa" w:w="1656"/>
          </w:tcPr>
          <w:p>
            <w:pPr>
              <w:spacing w:after="40"/>
            </w:pPr>
            <w:r/>
            <w:r>
              <w:rPr>
                <w:rFonts w:ascii="Arial" w:hAnsi="Arial"/>
                <w:sz w:val="17"/>
              </w:rPr>
              <w:t>2026-08-12</w:t>
            </w:r>
          </w:p>
        </w:tc>
        <w:tc>
          <w:tcPr>
            <w:tcW w:type="dxa" w:w="1656"/>
          </w:tcPr>
          <w:p>
            <w:pPr>
              <w:spacing w:after="40"/>
              <w:jc w:val="right"/>
            </w:pPr>
            <w:r/>
            <w:r>
              <w:rPr>
                <w:rFonts w:ascii="Arial" w:hAnsi="Arial"/>
                <w:sz w:val="17"/>
              </w:rPr>
              <w:t>10.73</w:t>
            </w:r>
          </w:p>
        </w:tc>
        <w:tc>
          <w:tcPr>
            <w:tcW w:type="dxa" w:w="1440"/>
          </w:tcPr>
          <w:p>
            <w:pPr>
              <w:spacing w:after="40"/>
              <w:jc w:val="right"/>
            </w:pPr>
            <w:r/>
            <w:r>
              <w:rPr>
                <w:rFonts w:ascii="Arial" w:hAnsi="Arial"/>
                <w:sz w:val="17"/>
              </w:rPr>
              <w:t>75–80%</w:t>
            </w:r>
          </w:p>
        </w:tc>
        <w:tc>
          <w:tcPr>
            <w:tcW w:type="dxa" w:w="936"/>
          </w:tcPr>
          <w:p>
            <w:pPr>
              <w:spacing w:after="40"/>
              <w:jc w:val="right"/>
            </w:pPr>
            <w:r/>
            <w:r>
              <w:rPr>
                <w:rFonts w:ascii="Arial" w:hAnsi="Arial"/>
                <w:sz w:val="17"/>
              </w:rPr>
              <w:t>4.9</w:t>
            </w:r>
          </w:p>
        </w:tc>
        <w:tc>
          <w:tcPr>
            <w:tcW w:type="dxa" w:w="1440"/>
          </w:tcPr>
          <w:p>
            <w:pPr>
              <w:spacing w:after="40"/>
              <w:jc w:val="right"/>
            </w:pPr>
            <w:r/>
            <w:r>
              <w:rPr>
                <w:rFonts w:ascii="Arial" w:hAnsi="Arial"/>
                <w:sz w:val="17"/>
              </w:rPr>
              <w:t>2.20</w:t>
            </w:r>
          </w:p>
        </w:tc>
        <w:tc>
          <w:tcPr>
            <w:tcW w:type="dxa" w:w="1512"/>
          </w:tcPr>
          <w:p>
            <w:pPr>
              <w:spacing w:after="40"/>
              <w:jc w:val="right"/>
            </w:pPr>
            <w:r/>
            <w:r>
              <w:rPr>
                <w:rFonts w:ascii="Arial" w:hAnsi="Arial"/>
                <w:sz w:val="17"/>
              </w:rPr>
              <w:t>± 0.32</w:t>
            </w:r>
          </w:p>
        </w:tc>
      </w:tr>
      <w:tr>
        <w:tc>
          <w:tcPr>
            <w:tcW w:type="dxa" w:w="1656"/>
            <w:shd w:val="clear" w:color="auto" w:fill="F2F5F8"/>
          </w:tcPr>
          <w:p>
            <w:pPr>
              <w:spacing w:after="40"/>
            </w:pPr>
            <w:r/>
            <w:r>
              <w:rPr>
                <w:rFonts w:ascii="Arial" w:hAnsi="Arial"/>
                <w:sz w:val="17"/>
              </w:rPr>
              <w:t>2026-08-13T11</w:t>
            </w:r>
          </w:p>
        </w:tc>
        <w:tc>
          <w:tcPr>
            <w:tcW w:type="dxa" w:w="1656"/>
            <w:shd w:val="clear" w:color="auto" w:fill="F2F5F8"/>
          </w:tcPr>
          <w:p>
            <w:pPr>
              <w:spacing w:after="40"/>
              <w:jc w:val="right"/>
            </w:pPr>
            <w:r/>
            <w:r>
              <w:rPr>
                <w:rFonts w:ascii="Arial" w:hAnsi="Arial"/>
                <w:sz w:val="17"/>
              </w:rPr>
              <w:t>15.09</w:t>
            </w:r>
          </w:p>
        </w:tc>
        <w:tc>
          <w:tcPr>
            <w:tcW w:type="dxa" w:w="1440"/>
            <w:shd w:val="clear" w:color="auto" w:fill="F2F5F8"/>
          </w:tcPr>
          <w:p>
            <w:pPr>
              <w:spacing w:after="40"/>
              <w:jc w:val="right"/>
            </w:pPr>
            <w:r/>
            <w:r>
              <w:rPr>
                <w:rFonts w:ascii="Arial" w:hAnsi="Arial"/>
                <w:sz w:val="17"/>
              </w:rPr>
              <w:t>57–62%</w:t>
            </w:r>
          </w:p>
        </w:tc>
        <w:tc>
          <w:tcPr>
            <w:tcW w:type="dxa" w:w="936"/>
            <w:shd w:val="clear" w:color="auto" w:fill="F2F5F8"/>
          </w:tcPr>
          <w:p>
            <w:pPr>
              <w:spacing w:after="40"/>
              <w:jc w:val="right"/>
            </w:pPr>
            <w:r/>
            <w:r>
              <w:rPr>
                <w:rFonts w:ascii="Arial" w:hAnsi="Arial"/>
                <w:sz w:val="17"/>
              </w:rPr>
              <w:t>4.7</w:t>
            </w:r>
          </w:p>
        </w:tc>
        <w:tc>
          <w:tcPr>
            <w:tcW w:type="dxa" w:w="1440"/>
            <w:shd w:val="clear" w:color="auto" w:fill="F2F5F8"/>
          </w:tcPr>
          <w:p>
            <w:pPr>
              <w:spacing w:after="40"/>
              <w:jc w:val="right"/>
            </w:pPr>
            <w:r/>
            <w:r>
              <w:rPr>
                <w:rFonts w:ascii="Arial" w:hAnsi="Arial"/>
                <w:sz w:val="17"/>
              </w:rPr>
              <w:t>3.18</w:t>
            </w:r>
          </w:p>
        </w:tc>
        <w:tc>
          <w:tcPr>
            <w:tcW w:type="dxa" w:w="1512"/>
            <w:shd w:val="clear" w:color="auto" w:fill="F2F5F8"/>
          </w:tcPr>
          <w:p>
            <w:pPr>
              <w:spacing w:after="40"/>
              <w:jc w:val="right"/>
            </w:pPr>
            <w:r/>
            <w:r>
              <w:rPr>
                <w:rFonts w:ascii="Arial" w:hAnsi="Arial"/>
                <w:sz w:val="17"/>
              </w:rPr>
              <w:t>± 0.47</w:t>
            </w:r>
          </w:p>
        </w:tc>
      </w:tr>
      <w:tr>
        <w:tc>
          <w:tcPr>
            <w:tcW w:type="dxa" w:w="1656"/>
          </w:tcPr>
          <w:p>
            <w:pPr>
              <w:spacing w:after="40"/>
            </w:pPr>
            <w:r/>
            <w:r>
              <w:rPr>
                <w:rFonts w:ascii="Arial" w:hAnsi="Arial"/>
                <w:sz w:val="17"/>
              </w:rPr>
              <w:t>2026-08-12</w:t>
            </w:r>
          </w:p>
        </w:tc>
        <w:tc>
          <w:tcPr>
            <w:tcW w:type="dxa" w:w="1656"/>
          </w:tcPr>
          <w:p>
            <w:pPr>
              <w:spacing w:after="40"/>
              <w:jc w:val="right"/>
            </w:pPr>
            <w:r/>
            <w:r>
              <w:rPr>
                <w:rFonts w:ascii="Arial" w:hAnsi="Arial"/>
                <w:sz w:val="17"/>
              </w:rPr>
              <w:t>8.03</w:t>
            </w:r>
          </w:p>
        </w:tc>
        <w:tc>
          <w:tcPr>
            <w:tcW w:type="dxa" w:w="1440"/>
          </w:tcPr>
          <w:p>
            <w:pPr>
              <w:spacing w:after="40"/>
              <w:jc w:val="right"/>
            </w:pPr>
            <w:r/>
            <w:r>
              <w:rPr>
                <w:rFonts w:ascii="Arial" w:hAnsi="Arial"/>
                <w:sz w:val="17"/>
              </w:rPr>
              <w:t>79–84%</w:t>
            </w:r>
          </w:p>
        </w:tc>
        <w:tc>
          <w:tcPr>
            <w:tcW w:type="dxa" w:w="936"/>
          </w:tcPr>
          <w:p>
            <w:pPr>
              <w:spacing w:after="40"/>
              <w:jc w:val="right"/>
            </w:pPr>
            <w:r/>
            <w:r>
              <w:rPr>
                <w:rFonts w:ascii="Arial" w:hAnsi="Arial"/>
                <w:sz w:val="17"/>
              </w:rPr>
              <w:t>4.6</w:t>
            </w:r>
          </w:p>
        </w:tc>
        <w:tc>
          <w:tcPr>
            <w:tcW w:type="dxa" w:w="1440"/>
          </w:tcPr>
          <w:p>
            <w:pPr>
              <w:spacing w:after="40"/>
              <w:jc w:val="right"/>
            </w:pPr>
            <w:r/>
            <w:r>
              <w:rPr>
                <w:rFonts w:ascii="Arial" w:hAnsi="Arial"/>
                <w:sz w:val="17"/>
              </w:rPr>
              <w:t>1.73</w:t>
            </w:r>
          </w:p>
        </w:tc>
        <w:tc>
          <w:tcPr>
            <w:tcW w:type="dxa" w:w="1512"/>
          </w:tcPr>
          <w:p>
            <w:pPr>
              <w:spacing w:after="40"/>
              <w:jc w:val="right"/>
            </w:pPr>
            <w:r/>
            <w:r>
              <w:rPr>
                <w:rFonts w:ascii="Arial" w:hAnsi="Arial"/>
                <w:sz w:val="17"/>
              </w:rPr>
              <w:t>± 0.26</w:t>
            </w:r>
          </w:p>
        </w:tc>
      </w:tr>
      <w:tr>
        <w:tc>
          <w:tcPr>
            <w:tcW w:type="dxa" w:w="1656"/>
            <w:shd w:val="clear" w:color="auto" w:fill="F2F5F8"/>
          </w:tcPr>
          <w:p>
            <w:pPr>
              <w:spacing w:after="40"/>
            </w:pPr>
            <w:r/>
            <w:r>
              <w:rPr>
                <w:rFonts w:ascii="Arial" w:hAnsi="Arial"/>
                <w:sz w:val="17"/>
              </w:rPr>
              <w:t>2026-08-12</w:t>
            </w:r>
          </w:p>
        </w:tc>
        <w:tc>
          <w:tcPr>
            <w:tcW w:type="dxa" w:w="1656"/>
            <w:shd w:val="clear" w:color="auto" w:fill="F2F5F8"/>
          </w:tcPr>
          <w:p>
            <w:pPr>
              <w:spacing w:after="40"/>
              <w:jc w:val="right"/>
            </w:pPr>
            <w:r/>
            <w:r>
              <w:rPr>
                <w:rFonts w:ascii="Arial" w:hAnsi="Arial"/>
                <w:sz w:val="17"/>
              </w:rPr>
              <w:t>9.39</w:t>
            </w:r>
          </w:p>
        </w:tc>
        <w:tc>
          <w:tcPr>
            <w:tcW w:type="dxa" w:w="1440"/>
            <w:shd w:val="clear" w:color="auto" w:fill="F2F5F8"/>
          </w:tcPr>
          <w:p>
            <w:pPr>
              <w:spacing w:after="40"/>
              <w:jc w:val="right"/>
            </w:pPr>
            <w:r/>
            <w:r>
              <w:rPr>
                <w:rFonts w:ascii="Arial" w:hAnsi="Arial"/>
                <w:sz w:val="17"/>
              </w:rPr>
              <w:t>71–76%</w:t>
            </w:r>
          </w:p>
        </w:tc>
        <w:tc>
          <w:tcPr>
            <w:tcW w:type="dxa" w:w="936"/>
            <w:shd w:val="clear" w:color="auto" w:fill="F2F5F8"/>
          </w:tcPr>
          <w:p>
            <w:pPr>
              <w:spacing w:after="40"/>
              <w:jc w:val="right"/>
            </w:pPr>
            <w:r/>
            <w:r>
              <w:rPr>
                <w:rFonts w:ascii="Arial" w:hAnsi="Arial"/>
                <w:sz w:val="17"/>
              </w:rPr>
              <w:t>4.6</w:t>
            </w:r>
          </w:p>
        </w:tc>
        <w:tc>
          <w:tcPr>
            <w:tcW w:type="dxa" w:w="1440"/>
            <w:shd w:val="clear" w:color="auto" w:fill="F2F5F8"/>
          </w:tcPr>
          <w:p>
            <w:pPr>
              <w:spacing w:after="40"/>
              <w:jc w:val="right"/>
            </w:pPr>
            <w:r/>
            <w:r>
              <w:rPr>
                <w:rFonts w:ascii="Arial" w:hAnsi="Arial"/>
                <w:sz w:val="17"/>
              </w:rPr>
              <w:t>2.03</w:t>
            </w:r>
          </w:p>
        </w:tc>
        <w:tc>
          <w:tcPr>
            <w:tcW w:type="dxa" w:w="1512"/>
            <w:shd w:val="clear" w:color="auto" w:fill="F2F5F8"/>
          </w:tcPr>
          <w:p>
            <w:pPr>
              <w:spacing w:after="40"/>
              <w:jc w:val="right"/>
            </w:pPr>
            <w:r/>
            <w:r>
              <w:rPr>
                <w:rFonts w:ascii="Arial" w:hAnsi="Arial"/>
                <w:sz w:val="17"/>
              </w:rPr>
              <w:t>± 0.31</w:t>
            </w:r>
          </w:p>
        </w:tc>
      </w:tr>
      <w:tr>
        <w:tc>
          <w:tcPr>
            <w:tcW w:type="dxa" w:w="1656"/>
          </w:tcPr>
          <w:p>
            <w:pPr>
              <w:spacing w:after="40"/>
            </w:pPr>
            <w:r/>
            <w:r>
              <w:rPr>
                <w:rFonts w:ascii="Arial" w:hAnsi="Arial"/>
                <w:sz w:val="17"/>
              </w:rPr>
              <w:t>2026-08-12</w:t>
            </w:r>
          </w:p>
        </w:tc>
        <w:tc>
          <w:tcPr>
            <w:tcW w:type="dxa" w:w="1656"/>
          </w:tcPr>
          <w:p>
            <w:pPr>
              <w:spacing w:after="40"/>
              <w:jc w:val="right"/>
            </w:pPr>
            <w:r/>
            <w:r>
              <w:rPr>
                <w:rFonts w:ascii="Arial" w:hAnsi="Arial"/>
                <w:sz w:val="17"/>
              </w:rPr>
              <w:t>8.93</w:t>
            </w:r>
          </w:p>
        </w:tc>
        <w:tc>
          <w:tcPr>
            <w:tcW w:type="dxa" w:w="1440"/>
          </w:tcPr>
          <w:p>
            <w:pPr>
              <w:spacing w:after="40"/>
              <w:jc w:val="right"/>
            </w:pPr>
            <w:r/>
            <w:r>
              <w:rPr>
                <w:rFonts w:ascii="Arial" w:hAnsi="Arial"/>
                <w:sz w:val="17"/>
              </w:rPr>
              <w:t>85–89%</w:t>
            </w:r>
          </w:p>
        </w:tc>
        <w:tc>
          <w:tcPr>
            <w:tcW w:type="dxa" w:w="936"/>
          </w:tcPr>
          <w:p>
            <w:pPr>
              <w:spacing w:after="40"/>
              <w:jc w:val="right"/>
            </w:pPr>
            <w:r/>
            <w:r>
              <w:rPr>
                <w:rFonts w:ascii="Arial" w:hAnsi="Arial"/>
                <w:sz w:val="17"/>
              </w:rPr>
              <w:t>4.4</w:t>
            </w:r>
          </w:p>
        </w:tc>
        <w:tc>
          <w:tcPr>
            <w:tcW w:type="dxa" w:w="1440"/>
          </w:tcPr>
          <w:p>
            <w:pPr>
              <w:spacing w:after="40"/>
              <w:jc w:val="right"/>
            </w:pPr>
            <w:r/>
            <w:r>
              <w:rPr>
                <w:rFonts w:ascii="Arial" w:hAnsi="Arial"/>
                <w:sz w:val="17"/>
              </w:rPr>
              <w:t>2.03</w:t>
            </w:r>
          </w:p>
        </w:tc>
        <w:tc>
          <w:tcPr>
            <w:tcW w:type="dxa" w:w="1512"/>
          </w:tcPr>
          <w:p>
            <w:pPr>
              <w:spacing w:after="40"/>
              <w:jc w:val="right"/>
            </w:pPr>
            <w:r/>
            <w:r>
              <w:rPr>
                <w:rFonts w:ascii="Arial" w:hAnsi="Arial"/>
                <w:sz w:val="17"/>
              </w:rPr>
              <w:t>± 0.32</w:t>
            </w:r>
          </w:p>
        </w:tc>
      </w:tr>
      <w:tr>
        <w:tc>
          <w:tcPr>
            <w:tcW w:type="dxa" w:w="1656"/>
            <w:shd w:val="clear" w:color="auto" w:fill="F2F5F8"/>
          </w:tcPr>
          <w:p>
            <w:pPr>
              <w:spacing w:after="40"/>
            </w:pPr>
            <w:r/>
            <w:r>
              <w:rPr>
                <w:rFonts w:ascii="Arial" w:hAnsi="Arial"/>
                <w:sz w:val="17"/>
              </w:rPr>
              <w:t>2026-08-12</w:t>
            </w:r>
          </w:p>
        </w:tc>
        <w:tc>
          <w:tcPr>
            <w:tcW w:type="dxa" w:w="1656"/>
            <w:shd w:val="clear" w:color="auto" w:fill="F2F5F8"/>
          </w:tcPr>
          <w:p>
            <w:pPr>
              <w:spacing w:after="40"/>
              <w:jc w:val="right"/>
            </w:pPr>
            <w:r/>
            <w:r>
              <w:rPr>
                <w:rFonts w:ascii="Arial" w:hAnsi="Arial"/>
                <w:sz w:val="17"/>
              </w:rPr>
              <w:t>8.25</w:t>
            </w:r>
          </w:p>
        </w:tc>
        <w:tc>
          <w:tcPr>
            <w:tcW w:type="dxa" w:w="1440"/>
            <w:shd w:val="clear" w:color="auto" w:fill="F2F5F8"/>
          </w:tcPr>
          <w:p>
            <w:pPr>
              <w:spacing w:after="40"/>
              <w:jc w:val="right"/>
            </w:pPr>
            <w:r/>
            <w:r>
              <w:rPr>
                <w:rFonts w:ascii="Arial" w:hAnsi="Arial"/>
                <w:sz w:val="17"/>
              </w:rPr>
              <w:t>83–86%</w:t>
            </w:r>
          </w:p>
        </w:tc>
        <w:tc>
          <w:tcPr>
            <w:tcW w:type="dxa" w:w="936"/>
            <w:shd w:val="clear" w:color="auto" w:fill="F2F5F8"/>
          </w:tcPr>
          <w:p>
            <w:pPr>
              <w:spacing w:after="40"/>
              <w:jc w:val="right"/>
            </w:pPr>
            <w:r/>
            <w:r>
              <w:rPr>
                <w:rFonts w:ascii="Arial" w:hAnsi="Arial"/>
                <w:sz w:val="17"/>
              </w:rPr>
              <w:t>2.6</w:t>
            </w:r>
          </w:p>
        </w:tc>
        <w:tc>
          <w:tcPr>
            <w:tcW w:type="dxa" w:w="1440"/>
            <w:shd w:val="clear" w:color="auto" w:fill="F2F5F8"/>
          </w:tcPr>
          <w:p>
            <w:pPr>
              <w:spacing w:after="40"/>
              <w:jc w:val="right"/>
            </w:pPr>
            <w:r/>
            <w:r>
              <w:rPr>
                <w:rFonts w:ascii="Arial" w:hAnsi="Arial"/>
                <w:sz w:val="17"/>
              </w:rPr>
              <w:t>3.17</w:t>
            </w:r>
          </w:p>
        </w:tc>
        <w:tc>
          <w:tcPr>
            <w:tcW w:type="dxa" w:w="1512"/>
            <w:shd w:val="clear" w:color="auto" w:fill="F2F5F8"/>
          </w:tcPr>
          <w:p>
            <w:pPr>
              <w:spacing w:after="40"/>
              <w:jc w:val="right"/>
            </w:pPr>
            <w:r/>
            <w:r>
              <w:rPr>
                <w:rFonts w:ascii="Arial" w:hAnsi="Arial"/>
                <w:sz w:val="17"/>
              </w:rPr>
              <w:t>± 0.85</w:t>
            </w:r>
          </w:p>
        </w:tc>
      </w:tr>
      <w:tr>
        <w:tc>
          <w:tcPr>
            <w:tcW w:type="dxa" w:w="1656"/>
          </w:tcPr>
          <w:p>
            <w:pPr>
              <w:spacing w:after="40"/>
            </w:pPr>
            <w:r/>
            <w:r>
              <w:rPr>
                <w:rFonts w:ascii="Arial" w:hAnsi="Arial"/>
                <w:sz w:val="17"/>
              </w:rPr>
              <w:t>2026-08-08</w:t>
            </w:r>
          </w:p>
        </w:tc>
        <w:tc>
          <w:tcPr>
            <w:tcW w:type="dxa" w:w="1656"/>
          </w:tcPr>
          <w:p>
            <w:pPr>
              <w:spacing w:after="40"/>
              <w:jc w:val="right"/>
            </w:pPr>
            <w:r/>
            <w:r>
              <w:rPr>
                <w:rFonts w:ascii="Arial" w:hAnsi="Arial"/>
                <w:sz w:val="17"/>
              </w:rPr>
              <w:t>5.09</w:t>
            </w:r>
          </w:p>
        </w:tc>
        <w:tc>
          <w:tcPr>
            <w:tcW w:type="dxa" w:w="1440"/>
          </w:tcPr>
          <w:p>
            <w:pPr>
              <w:spacing w:after="40"/>
              <w:jc w:val="right"/>
            </w:pPr>
            <w:r/>
            <w:r>
              <w:rPr>
                <w:rFonts w:ascii="Arial" w:hAnsi="Arial"/>
                <w:sz w:val="17"/>
              </w:rPr>
              <w:t>72–74%</w:t>
            </w:r>
          </w:p>
        </w:tc>
        <w:tc>
          <w:tcPr>
            <w:tcW w:type="dxa" w:w="936"/>
          </w:tcPr>
          <w:p>
            <w:pPr>
              <w:spacing w:after="40"/>
              <w:jc w:val="right"/>
            </w:pPr>
            <w:r/>
            <w:r>
              <w:rPr>
                <w:rFonts w:ascii="Arial" w:hAnsi="Arial"/>
                <w:sz w:val="17"/>
              </w:rPr>
              <w:t>2.4</w:t>
            </w:r>
          </w:p>
        </w:tc>
        <w:tc>
          <w:tcPr>
            <w:tcW w:type="dxa" w:w="1440"/>
          </w:tcPr>
          <w:p>
            <w:pPr>
              <w:spacing w:after="40"/>
              <w:jc w:val="right"/>
            </w:pPr>
            <w:r/>
            <w:r>
              <w:rPr>
                <w:rFonts w:ascii="Arial" w:hAnsi="Arial"/>
                <w:sz w:val="17"/>
              </w:rPr>
              <w:t>2.10</w:t>
            </w:r>
          </w:p>
        </w:tc>
        <w:tc>
          <w:tcPr>
            <w:tcW w:type="dxa" w:w="1512"/>
          </w:tcPr>
          <w:p>
            <w:pPr>
              <w:spacing w:after="40"/>
              <w:jc w:val="right"/>
            </w:pPr>
            <w:r/>
            <w:r>
              <w:rPr>
                <w:rFonts w:ascii="Arial" w:hAnsi="Arial"/>
                <w:sz w:val="17"/>
              </w:rPr>
              <w:t>± 0.61</w:t>
            </w:r>
          </w:p>
        </w:tc>
      </w:tr>
      <w:tr>
        <w:tc>
          <w:tcPr>
            <w:tcW w:type="dxa" w:w="1656"/>
            <w:shd w:val="clear" w:color="auto" w:fill="F2F5F8"/>
          </w:tcPr>
          <w:p>
            <w:pPr>
              <w:spacing w:after="40"/>
            </w:pPr>
            <w:r/>
            <w:r>
              <w:rPr>
                <w:rFonts w:ascii="Arial" w:hAnsi="Arial"/>
                <w:sz w:val="17"/>
              </w:rPr>
              <w:t>2026-08-13</w:t>
            </w:r>
          </w:p>
        </w:tc>
        <w:tc>
          <w:tcPr>
            <w:tcW w:type="dxa" w:w="1656"/>
            <w:shd w:val="clear" w:color="auto" w:fill="F2F5F8"/>
          </w:tcPr>
          <w:p>
            <w:pPr>
              <w:spacing w:after="40"/>
              <w:jc w:val="right"/>
            </w:pPr>
            <w:r/>
            <w:r>
              <w:rPr>
                <w:rFonts w:ascii="Arial" w:hAnsi="Arial"/>
                <w:sz w:val="17"/>
              </w:rPr>
              <w:t>7.13</w:t>
            </w:r>
          </w:p>
        </w:tc>
        <w:tc>
          <w:tcPr>
            <w:tcW w:type="dxa" w:w="1440"/>
            <w:shd w:val="clear" w:color="auto" w:fill="F2F5F8"/>
          </w:tcPr>
          <w:p>
            <w:pPr>
              <w:spacing w:after="40"/>
              <w:jc w:val="right"/>
            </w:pPr>
            <w:r/>
            <w:r>
              <w:rPr>
                <w:rFonts w:ascii="Arial" w:hAnsi="Arial"/>
                <w:sz w:val="17"/>
              </w:rPr>
              <w:t>69–71%</w:t>
            </w:r>
          </w:p>
        </w:tc>
        <w:tc>
          <w:tcPr>
            <w:tcW w:type="dxa" w:w="936"/>
            <w:shd w:val="clear" w:color="auto" w:fill="F2F5F8"/>
          </w:tcPr>
          <w:p>
            <w:pPr>
              <w:spacing w:after="40"/>
              <w:jc w:val="right"/>
            </w:pPr>
            <w:r/>
            <w:r>
              <w:rPr>
                <w:rFonts w:ascii="Arial" w:hAnsi="Arial"/>
                <w:sz w:val="17"/>
              </w:rPr>
              <w:t>2.0</w:t>
            </w:r>
          </w:p>
        </w:tc>
        <w:tc>
          <w:tcPr>
            <w:tcW w:type="dxa" w:w="1440"/>
            <w:shd w:val="clear" w:color="auto" w:fill="F2F5F8"/>
          </w:tcPr>
          <w:p>
            <w:pPr>
              <w:spacing w:after="40"/>
              <w:jc w:val="right"/>
            </w:pPr>
            <w:r/>
            <w:r>
              <w:rPr>
                <w:rFonts w:ascii="Arial" w:hAnsi="Arial"/>
                <w:sz w:val="17"/>
              </w:rPr>
              <w:t>3.50</w:t>
            </w:r>
          </w:p>
        </w:tc>
        <w:tc>
          <w:tcPr>
            <w:tcW w:type="dxa" w:w="1512"/>
            <w:shd w:val="clear" w:color="auto" w:fill="F2F5F8"/>
          </w:tcPr>
          <w:p>
            <w:pPr>
              <w:spacing w:after="40"/>
              <w:jc w:val="right"/>
            </w:pPr>
            <w:r/>
            <w:r>
              <w:rPr>
                <w:rFonts w:ascii="Arial" w:hAnsi="Arial"/>
                <w:sz w:val="17"/>
              </w:rPr>
              <w:t>± 1.20</w:t>
            </w:r>
          </w:p>
        </w:tc>
      </w:tr>
      <w:tr>
        <w:tc>
          <w:tcPr>
            <w:tcW w:type="dxa" w:w="1656"/>
          </w:tcPr>
          <w:p>
            <w:pPr>
              <w:spacing w:after="40"/>
            </w:pPr>
            <w:r/>
            <w:r>
              <w:rPr>
                <w:rFonts w:ascii="Arial" w:hAnsi="Arial"/>
                <w:sz w:val="17"/>
              </w:rPr>
              <w:t>2026-08-15</w:t>
            </w:r>
          </w:p>
        </w:tc>
        <w:tc>
          <w:tcPr>
            <w:tcW w:type="dxa" w:w="1656"/>
          </w:tcPr>
          <w:p>
            <w:pPr>
              <w:spacing w:after="40"/>
              <w:jc w:val="right"/>
            </w:pPr>
            <w:r/>
            <w:r>
              <w:rPr>
                <w:rFonts w:ascii="Arial" w:hAnsi="Arial"/>
                <w:sz w:val="17"/>
              </w:rPr>
              <w:t>2.41</w:t>
            </w:r>
          </w:p>
        </w:tc>
        <w:tc>
          <w:tcPr>
            <w:tcW w:type="dxa" w:w="1440"/>
          </w:tcPr>
          <w:p>
            <w:pPr>
              <w:spacing w:after="40"/>
              <w:jc w:val="right"/>
            </w:pPr>
            <w:r/>
            <w:r>
              <w:rPr>
                <w:rFonts w:ascii="Arial" w:hAnsi="Arial"/>
                <w:sz w:val="17"/>
              </w:rPr>
              <w:t>81–83%</w:t>
            </w:r>
          </w:p>
        </w:tc>
        <w:tc>
          <w:tcPr>
            <w:tcW w:type="dxa" w:w="936"/>
          </w:tcPr>
          <w:p>
            <w:pPr>
              <w:spacing w:after="40"/>
              <w:jc w:val="right"/>
            </w:pPr>
            <w:r/>
            <w:r>
              <w:rPr>
                <w:rFonts w:ascii="Arial" w:hAnsi="Arial"/>
                <w:sz w:val="17"/>
              </w:rPr>
              <w:t>1.8</w:t>
            </w:r>
          </w:p>
        </w:tc>
        <w:tc>
          <w:tcPr>
            <w:tcW w:type="dxa" w:w="1440"/>
          </w:tcPr>
          <w:p>
            <w:pPr>
              <w:spacing w:after="40"/>
              <w:jc w:val="right"/>
            </w:pPr>
            <w:r/>
            <w:r>
              <w:rPr>
                <w:rFonts w:ascii="Arial" w:hAnsi="Arial"/>
                <w:sz w:val="17"/>
              </w:rPr>
              <w:t>1.33</w:t>
            </w:r>
          </w:p>
        </w:tc>
        <w:tc>
          <w:tcPr>
            <w:tcW w:type="dxa" w:w="1512"/>
          </w:tcPr>
          <w:p>
            <w:pPr>
              <w:spacing w:after="40"/>
              <w:jc w:val="right"/>
            </w:pPr>
            <w:r/>
            <w:r>
              <w:rPr>
                <w:rFonts w:ascii="Arial" w:hAnsi="Arial"/>
                <w:sz w:val="17"/>
              </w:rPr>
              <w:t>± 0.51</w:t>
            </w:r>
          </w:p>
        </w:tc>
      </w:tr>
      <w:tr>
        <w:tc>
          <w:tcPr>
            <w:tcW w:type="dxa" w:w="1656"/>
            <w:shd w:val="clear" w:color="auto" w:fill="F2F5F8"/>
          </w:tcPr>
          <w:p>
            <w:pPr>
              <w:spacing w:after="40"/>
            </w:pPr>
            <w:r/>
            <w:r>
              <w:rPr>
                <w:rFonts w:ascii="Arial" w:hAnsi="Arial"/>
                <w:sz w:val="17"/>
              </w:rPr>
              <w:t>POOLED</w:t>
            </w:r>
          </w:p>
        </w:tc>
        <w:tc>
          <w:tcPr>
            <w:tcW w:type="dxa" w:w="1656"/>
            <w:shd w:val="clear" w:color="auto" w:fill="F2F5F8"/>
          </w:tcPr>
          <w:p>
            <w:pPr>
              <w:spacing w:after="40"/>
              <w:jc w:val="right"/>
            </w:pPr>
            <w:r/>
            <w:r>
              <w:rPr>
                <w:rFonts w:ascii="Arial" w:hAnsi="Arial"/>
                <w:sz w:val="17"/>
              </w:rPr>
              <w:t>211.5</w:t>
            </w:r>
          </w:p>
        </w:tc>
        <w:tc>
          <w:tcPr>
            <w:tcW w:type="dxa" w:w="1440"/>
            <w:shd w:val="clear" w:color="auto" w:fill="F2F5F8"/>
          </w:tcPr>
          <w:p>
            <w:pPr>
              <w:spacing w:after="40"/>
              <w:jc w:val="right"/>
            </w:pPr>
            <w:r/>
            <w:r>
              <w:rPr>
                <w:rFonts w:ascii="Arial" w:hAnsi="Arial"/>
                <w:sz w:val="17"/>
              </w:rPr>
              <w:t>37–100%</w:t>
            </w:r>
          </w:p>
        </w:tc>
        <w:tc>
          <w:tcPr>
            <w:tcW w:type="dxa" w:w="936"/>
            <w:shd w:val="clear" w:color="auto" w:fill="F2F5F8"/>
          </w:tcPr>
          <w:p>
            <w:pPr>
              <w:spacing w:after="40"/>
              <w:jc w:val="right"/>
            </w:pPr>
            <w:r/>
            <w:r>
              <w:rPr>
                <w:rFonts w:ascii="Arial" w:hAnsi="Arial"/>
                <w:sz w:val="17"/>
              </w:rPr>
              <w:t>90.3</w:t>
            </w:r>
          </w:p>
        </w:tc>
        <w:tc>
          <w:tcPr>
            <w:tcW w:type="dxa" w:w="1440"/>
            <w:shd w:val="clear" w:color="auto" w:fill="F2F5F8"/>
          </w:tcPr>
          <w:p>
            <w:pPr>
              <w:spacing w:after="40"/>
              <w:jc w:val="right"/>
            </w:pPr>
            <w:r/>
            <w:r>
              <w:rPr>
                <w:rFonts w:ascii="Arial" w:hAnsi="Arial"/>
                <w:sz w:val="17"/>
              </w:rPr>
              <w:t>2.34</w:t>
            </w:r>
          </w:p>
        </w:tc>
        <w:tc>
          <w:tcPr>
            <w:tcW w:type="dxa" w:w="1512"/>
            <w:shd w:val="clear" w:color="auto" w:fill="F2F5F8"/>
          </w:tcPr>
          <w:p>
            <w:pPr>
              <w:spacing w:after="40"/>
              <w:jc w:val="right"/>
            </w:pPr>
            <w:r/>
            <w:r>
              <w:rPr>
                <w:rFonts w:ascii="Arial" w:hAnsi="Arial"/>
                <w:sz w:val="17"/>
              </w:rPr>
              <w:t>± 0.16</w:t>
            </w:r>
          </w:p>
        </w:tc>
      </w:tr>
    </w:tbl>
    <w:p>
      <w:pPr>
        <w:spacing w:after="200"/>
      </w:pPr>
      <w:r>
        <w:rPr>
          <w:rFonts w:ascii="Arial" w:hAnsi="Arial"/>
          <w:b w:val="0"/>
          <w:i/>
          <w:color w:val="5B6B7A"/>
          <w:sz w:val="16"/>
        </w:rPr>
        <w:t>Table 1 — Every usable drawdown, largest first. The pooled row divides total litres by total drawdown TRAVELLED (90.3 points), not by the width of the band it covers: the spans are separate falls that revisit the same part of the gauge, so the band only says where the measurement looked. Its uncertainty is the spread BETWEEN spans rather than gauge quantisation on any one of them — with 17 falls, quantisation is no longer what limits the answer.</w:t>
      </w:r>
    </w:p>
    <w:p>
      <w:pPr>
        <w:jc w:val="center"/>
      </w:pPr>
      <w:r>
        <w:drawing>
          <wp:inline xmlns:a="http://schemas.openxmlformats.org/drawingml/2006/main" xmlns:pic="http://schemas.openxmlformats.org/drawingml/2006/picture">
            <wp:extent cx="5852160" cy="2148531"/>
            <wp:docPr id="1" name="Picture 1"/>
            <wp:cNvGraphicFramePr>
              <a:graphicFrameLocks noChangeAspect="1"/>
            </wp:cNvGraphicFramePr>
            <a:graphic>
              <a:graphicData uri="http://schemas.openxmlformats.org/drawingml/2006/picture">
                <pic:pic>
                  <pic:nvPicPr>
                    <pic:cNvPr id="0" name="g1_traces.png"/>
                    <pic:cNvPicPr/>
                  </pic:nvPicPr>
                  <pic:blipFill>
                    <a:blip r:embed="rId9"/>
                    <a:stretch>
                      <a:fillRect/>
                    </a:stretch>
                  </pic:blipFill>
                  <pic:spPr>
                    <a:xfrm>
                      <a:off x="0" y="0"/>
                      <a:ext cx="5852160" cy="2148531"/>
                    </a:xfrm>
                    <a:prstGeom prst="rect"/>
                  </pic:spPr>
                </pic:pic>
              </a:graphicData>
            </a:graphic>
          </wp:inline>
        </w:drawing>
      </w:r>
    </w:p>
    <w:p>
      <w:pPr>
        <w:spacing w:after="240"/>
        <w:jc w:val="center"/>
      </w:pPr>
      <w:r>
        <w:rPr>
          <w:rFonts w:ascii="Arial" w:hAnsi="Arial"/>
          <w:b w:val="0"/>
          <w:i/>
          <w:color w:val="5B6B7A"/>
          <w:sz w:val="17"/>
        </w:rPr>
        <w:t>Figure 1 — The raw evidence, one panel per operating session (the six with the largest burn). The gauge (blue) descends in visible 1% steps with bounce at each transition; metered fuel (red) rises smoothly. The staircase against the ramp is the entire measurement.</w:t>
      </w:r>
    </w:p>
    <w:p>
      <w:pPr>
        <w:pStyle w:val="Heading1"/>
      </w:pPr>
      <w:r>
        <w:t>3.  The calibration curve</w:t>
      </w:r>
    </w:p>
    <w:p>
      <w:pPr>
        <w:spacing w:after="120"/>
      </w:pPr>
      <w:r>
        <w:rPr>
          <w:rFonts w:ascii="Arial" w:hAnsi="Arial"/>
          <w:b w:val="0"/>
          <w:i w:val="0"/>
          <w:sz w:val="20"/>
        </w:rPr>
        <w:t>Chaining the operating days end to end gives cumulative metered litres against indicated level across the whole observed band.</w:t>
      </w:r>
    </w:p>
    <w:p>
      <w:pPr>
        <w:jc w:val="center"/>
      </w:pPr>
      <w:r>
        <w:drawing>
          <wp:inline xmlns:a="http://schemas.openxmlformats.org/drawingml/2006/main" xmlns:pic="http://schemas.openxmlformats.org/drawingml/2006/picture">
            <wp:extent cx="5669280" cy="3789572"/>
            <wp:docPr id="2" name="Picture 2"/>
            <wp:cNvGraphicFramePr>
              <a:graphicFrameLocks noChangeAspect="1"/>
            </wp:cNvGraphicFramePr>
            <a:graphic>
              <a:graphicData uri="http://schemas.openxmlformats.org/drawingml/2006/picture">
                <pic:pic>
                  <pic:nvPicPr>
                    <pic:cNvPr id="0" name="g2_calibration.png"/>
                    <pic:cNvPicPr/>
                  </pic:nvPicPr>
                  <pic:blipFill>
                    <a:blip r:embed="rId10"/>
                    <a:stretch>
                      <a:fillRect/>
                    </a:stretch>
                  </pic:blipFill>
                  <pic:spPr>
                    <a:xfrm>
                      <a:off x="0" y="0"/>
                      <a:ext cx="5669280" cy="3789572"/>
                    </a:xfrm>
                    <a:prstGeom prst="rect"/>
                  </pic:spPr>
                </pic:pic>
              </a:graphicData>
            </a:graphic>
          </wp:inline>
        </w:drawing>
      </w:r>
    </w:p>
    <w:p>
      <w:pPr>
        <w:spacing w:after="240"/>
        <w:jc w:val="center"/>
      </w:pPr>
      <w:r>
        <w:rPr>
          <w:rFonts w:ascii="Arial" w:hAnsi="Arial"/>
          <w:b w:val="0"/>
          <w:i/>
          <w:color w:val="5B6B7A"/>
          <w:sz w:val="17"/>
        </w:rPr>
        <w:t>Figure 2 — Cumulative litres against indicated level. The measured slope sits below the nominal line throughout: each indicated point is buying fewer litres than a linear 250 L tank would give. The scatter behind the staircase is the raw quantised gauge, shown so the noise is not hidden by the smoothing that removes it.</w:t>
      </w:r>
    </w:p>
    <w:p>
      <w:pPr>
        <w:spacing w:after="120"/>
      </w:pPr>
      <w:r>
        <w:rPr>
          <w:rFonts w:ascii="Arial" w:hAnsi="Arial"/>
          <w:b w:val="0"/>
          <w:i w:val="0"/>
          <w:sz w:val="20"/>
        </w:rPr>
        <w:t>Across the full observed span the gauge delivers 2.34 ± 0.16 L per indicated point. If that rate held across the whole tank it would imply about 234 L of usable capacity, against the 250 L nominal.</w:t>
      </w:r>
    </w:p>
    <w:p>
      <w:pPr>
        <w:pStyle w:val="Heading1"/>
      </w:pPr>
      <w:r>
        <w:t>4.  Four independent lines of evidence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944"/>
            <w:shd w:val="clear" w:color="auto" w:fill="1F3B60"/>
          </w:tcPr>
          <w:p>
            <w:pPr>
              <w:spacing w:after="40"/>
            </w:pPr>
            <w:r/>
            <w:r>
              <w:rPr>
                <w:rFonts w:ascii="Arial" w:hAnsi="Arial"/>
                <w:b/>
                <w:color w:val="FFFFFF"/>
                <w:sz w:val="17"/>
              </w:rPr>
              <w:t>Source</w:t>
            </w:r>
          </w:p>
        </w:tc>
        <w:tc>
          <w:tcPr>
            <w:tcW w:type="dxa" w:w="1080"/>
            <w:shd w:val="clear" w:color="auto" w:fill="1F3B60"/>
          </w:tcPr>
          <w:p>
            <w:pPr>
              <w:spacing w:after="40"/>
              <w:jc w:val="right"/>
            </w:pPr>
            <w:r/>
            <w:r>
              <w:rPr>
                <w:rFonts w:ascii="Arial" w:hAnsi="Arial"/>
                <w:b/>
                <w:color w:val="FFFFFF"/>
                <w:sz w:val="17"/>
              </w:rPr>
              <w:t>Band</w:t>
            </w:r>
          </w:p>
        </w:tc>
        <w:tc>
          <w:tcPr>
            <w:tcW w:type="dxa" w:w="1224"/>
            <w:shd w:val="clear" w:color="auto" w:fill="1F3B60"/>
          </w:tcPr>
          <w:p>
            <w:pPr>
              <w:spacing w:after="40"/>
              <w:jc w:val="right"/>
            </w:pPr>
            <w:r/>
            <w:r>
              <w:rPr>
                <w:rFonts w:ascii="Arial" w:hAnsi="Arial"/>
                <w:b/>
                <w:color w:val="FFFFFF"/>
                <w:sz w:val="17"/>
              </w:rPr>
              <w:t>L per point</w:t>
            </w:r>
          </w:p>
        </w:tc>
        <w:tc>
          <w:tcPr>
            <w:tcW w:type="dxa" w:w="1512"/>
            <w:shd w:val="clear" w:color="auto" w:fill="1F3B60"/>
          </w:tcPr>
          <w:p>
            <w:pPr>
              <w:spacing w:after="40"/>
              <w:jc w:val="right"/>
            </w:pPr>
            <w:r/>
            <w:r>
              <w:rPr>
                <w:rFonts w:ascii="Arial" w:hAnsi="Arial"/>
                <w:b/>
                <w:color w:val="FFFFFF"/>
                <w:sz w:val="17"/>
              </w:rPr>
              <w:t>Litres are…</w:t>
            </w:r>
          </w:p>
        </w:tc>
        <w:tc>
          <w:tcPr>
            <w:tcW w:type="dxa" w:w="3312"/>
            <w:shd w:val="clear" w:color="auto" w:fill="1F3B60"/>
          </w:tcPr>
          <w:p>
            <w:pPr>
              <w:spacing w:after="40"/>
              <w:jc w:val="right"/>
            </w:pPr>
            <w:r/>
            <w:r>
              <w:rPr>
                <w:rFonts w:ascii="Arial" w:hAnsi="Arial"/>
                <w:b/>
                <w:color w:val="FFFFFF"/>
                <w:sz w:val="17"/>
              </w:rPr>
              <w:t>Strength</w:t>
            </w:r>
          </w:p>
        </w:tc>
      </w:tr>
      <w:tr>
        <w:tc>
          <w:tcPr>
            <w:tcW w:type="dxa" w:w="1944"/>
          </w:tcPr>
          <w:p>
            <w:pPr>
              <w:spacing w:after="40"/>
            </w:pPr>
            <w:r/>
            <w:r>
              <w:rPr>
                <w:rFonts w:ascii="Arial" w:hAnsi="Arial"/>
                <w:sz w:val="17"/>
              </w:rPr>
              <w:t>Nominal assumption</w:t>
            </w:r>
          </w:p>
        </w:tc>
        <w:tc>
          <w:tcPr>
            <w:tcW w:type="dxa" w:w="1080"/>
          </w:tcPr>
          <w:p>
            <w:pPr>
              <w:spacing w:after="40"/>
              <w:jc w:val="right"/>
            </w:pPr>
            <w:r/>
            <w:r>
              <w:rPr>
                <w:rFonts w:ascii="Arial" w:hAnsi="Arial"/>
                <w:sz w:val="17"/>
              </w:rPr>
              <w:t>0–100%</w:t>
            </w:r>
          </w:p>
        </w:tc>
        <w:tc>
          <w:tcPr>
            <w:tcW w:type="dxa" w:w="1224"/>
          </w:tcPr>
          <w:p>
            <w:pPr>
              <w:spacing w:after="40"/>
              <w:jc w:val="right"/>
            </w:pPr>
            <w:r/>
            <w:r>
              <w:rPr>
                <w:rFonts w:ascii="Arial" w:hAnsi="Arial"/>
                <w:sz w:val="17"/>
              </w:rPr>
              <w:t>2.50</w:t>
            </w:r>
          </w:p>
        </w:tc>
        <w:tc>
          <w:tcPr>
            <w:tcW w:type="dxa" w:w="1512"/>
          </w:tcPr>
          <w:p>
            <w:pPr>
              <w:spacing w:after="40"/>
              <w:jc w:val="right"/>
            </w:pPr>
            <w:r/>
            <w:r>
              <w:rPr>
                <w:rFonts w:ascii="Arial" w:hAnsi="Arial"/>
                <w:sz w:val="17"/>
              </w:rPr>
              <w:t>assumed</w:t>
            </w:r>
          </w:p>
        </w:tc>
        <w:tc>
          <w:tcPr>
            <w:tcW w:type="dxa" w:w="3312"/>
          </w:tcPr>
          <w:p>
            <w:pPr>
              <w:spacing w:after="40"/>
              <w:jc w:val="right"/>
            </w:pPr>
            <w:r/>
            <w:r>
              <w:rPr>
                <w:rFonts w:ascii="Arial" w:hAnsi="Arial"/>
                <w:sz w:val="17"/>
              </w:rPr>
              <w:t>No measurement behind it</w:t>
            </w:r>
          </w:p>
        </w:tc>
      </w:tr>
      <w:tr>
        <w:tc>
          <w:tcPr>
            <w:tcW w:type="dxa" w:w="1944"/>
            <w:shd w:val="clear" w:color="auto" w:fill="F2F5F8"/>
          </w:tcPr>
          <w:p>
            <w:pPr>
              <w:spacing w:after="40"/>
            </w:pPr>
            <w:r/>
            <w:r>
              <w:rPr>
                <w:rFonts w:ascii="Arial" w:hAnsi="Arial"/>
                <w:sz w:val="17"/>
              </w:rPr>
              <w:t>2022 telemetry</w:t>
            </w:r>
          </w:p>
        </w:tc>
        <w:tc>
          <w:tcPr>
            <w:tcW w:type="dxa" w:w="1080"/>
            <w:shd w:val="clear" w:color="auto" w:fill="F2F5F8"/>
          </w:tcPr>
          <w:p>
            <w:pPr>
              <w:spacing w:after="40"/>
              <w:jc w:val="right"/>
            </w:pPr>
            <w:r/>
            <w:r>
              <w:rPr>
                <w:rFonts w:ascii="Arial" w:hAnsi="Arial"/>
                <w:sz w:val="17"/>
              </w:rPr>
              <w:t>54–92%</w:t>
            </w:r>
          </w:p>
        </w:tc>
        <w:tc>
          <w:tcPr>
            <w:tcW w:type="dxa" w:w="1224"/>
            <w:shd w:val="clear" w:color="auto" w:fill="F2F5F8"/>
          </w:tcPr>
          <w:p>
            <w:pPr>
              <w:spacing w:after="40"/>
              <w:jc w:val="right"/>
            </w:pPr>
            <w:r/>
            <w:r>
              <w:rPr>
                <w:rFonts w:ascii="Arial" w:hAnsi="Arial"/>
                <w:sz w:val="17"/>
              </w:rPr>
              <w:t>1.73</w:t>
            </w:r>
          </w:p>
        </w:tc>
        <w:tc>
          <w:tcPr>
            <w:tcW w:type="dxa" w:w="1512"/>
            <w:shd w:val="clear" w:color="auto" w:fill="F2F5F8"/>
          </w:tcPr>
          <w:p>
            <w:pPr>
              <w:spacing w:after="40"/>
              <w:jc w:val="right"/>
            </w:pPr>
            <w:r/>
            <w:r>
              <w:rPr>
                <w:rFonts w:ascii="Arial" w:hAnsi="Arial"/>
                <w:sz w:val="17"/>
              </w:rPr>
              <w:t>MODELLED</w:t>
            </w:r>
          </w:p>
        </w:tc>
        <w:tc>
          <w:tcPr>
            <w:tcW w:type="dxa" w:w="3312"/>
            <w:shd w:val="clear" w:color="auto" w:fill="F2F5F8"/>
          </w:tcPr>
          <w:p>
            <w:pPr>
              <w:spacing w:after="40"/>
              <w:jc w:val="right"/>
            </w:pPr>
            <w:r/>
            <w:r>
              <w:rPr>
                <w:rFonts w:ascii="Arial" w:hAnsi="Arial"/>
                <w:sz w:val="17"/>
              </w:rPr>
              <w:t>Precise arithmetic, but the litres come from a fuel model, not a meter</w:t>
            </w:r>
          </w:p>
        </w:tc>
      </w:tr>
      <w:tr>
        <w:tc>
          <w:tcPr>
            <w:tcW w:type="dxa" w:w="1944"/>
          </w:tcPr>
          <w:p>
            <w:pPr>
              <w:spacing w:after="40"/>
            </w:pPr>
            <w:r/>
            <w:r>
              <w:rPr>
                <w:rFonts w:ascii="Arial" w:hAnsi="Arial"/>
                <w:sz w:val="17"/>
              </w:rPr>
              <w:t>DD2024 refuel event</w:t>
            </w:r>
          </w:p>
        </w:tc>
        <w:tc>
          <w:tcPr>
            <w:tcW w:type="dxa" w:w="1080"/>
          </w:tcPr>
          <w:p>
            <w:pPr>
              <w:spacing w:after="40"/>
              <w:jc w:val="right"/>
            </w:pPr>
            <w:r/>
            <w:r>
              <w:rPr>
                <w:rFonts w:ascii="Arial" w:hAnsi="Arial"/>
                <w:sz w:val="17"/>
              </w:rPr>
              <w:t>9–97%</w:t>
            </w:r>
          </w:p>
        </w:tc>
        <w:tc>
          <w:tcPr>
            <w:tcW w:type="dxa" w:w="1224"/>
          </w:tcPr>
          <w:p>
            <w:pPr>
              <w:spacing w:after="40"/>
              <w:jc w:val="right"/>
            </w:pPr>
            <w:r/>
            <w:r>
              <w:rPr>
                <w:rFonts w:ascii="Arial" w:hAnsi="Arial"/>
                <w:sz w:val="17"/>
              </w:rPr>
              <w:t>2.09</w:t>
            </w:r>
          </w:p>
        </w:tc>
        <w:tc>
          <w:tcPr>
            <w:tcW w:type="dxa" w:w="1512"/>
          </w:tcPr>
          <w:p>
            <w:pPr>
              <w:spacing w:after="40"/>
              <w:jc w:val="right"/>
            </w:pPr>
            <w:r/>
            <w:r>
              <w:rPr>
                <w:rFonts w:ascii="Arial" w:hAnsi="Arial"/>
                <w:sz w:val="17"/>
              </w:rPr>
              <w:t>metered (pumped)</w:t>
            </w:r>
          </w:p>
        </w:tc>
        <w:tc>
          <w:tcPr>
            <w:tcW w:type="dxa" w:w="3312"/>
          </w:tcPr>
          <w:p>
            <w:pPr>
              <w:spacing w:after="40"/>
              <w:jc w:val="right"/>
            </w:pPr>
            <w:r/>
            <w:r>
              <w:rPr>
                <w:rFonts w:ascii="Arial" w:hAnsi="Arial"/>
                <w:sz w:val="17"/>
              </w:rPr>
              <w:t>Real litres over nearly the whole range; the fill may not be one clean event</w:t>
            </w:r>
          </w:p>
        </w:tc>
      </w:tr>
      <w:tr>
        <w:tc>
          <w:tcPr>
            <w:tcW w:type="dxa" w:w="1944"/>
            <w:shd w:val="clear" w:color="auto" w:fill="F2F5F8"/>
          </w:tcPr>
          <w:p>
            <w:pPr>
              <w:spacing w:after="40"/>
            </w:pPr>
            <w:r/>
            <w:r>
              <w:rPr>
                <w:rFonts w:ascii="Arial" w:hAnsi="Arial"/>
                <w:sz w:val="17"/>
              </w:rPr>
              <w:t>MCAP flow meter</w:t>
            </w:r>
          </w:p>
        </w:tc>
        <w:tc>
          <w:tcPr>
            <w:tcW w:type="dxa" w:w="1080"/>
            <w:shd w:val="clear" w:color="auto" w:fill="F2F5F8"/>
          </w:tcPr>
          <w:p>
            <w:pPr>
              <w:spacing w:after="40"/>
              <w:jc w:val="right"/>
            </w:pPr>
            <w:r/>
            <w:r>
              <w:rPr>
                <w:rFonts w:ascii="Arial" w:hAnsi="Arial"/>
                <w:sz w:val="17"/>
              </w:rPr>
              <w:t>37–100%</w:t>
            </w:r>
          </w:p>
        </w:tc>
        <w:tc>
          <w:tcPr>
            <w:tcW w:type="dxa" w:w="1224"/>
            <w:shd w:val="clear" w:color="auto" w:fill="F2F5F8"/>
          </w:tcPr>
          <w:p>
            <w:pPr>
              <w:spacing w:after="40"/>
              <w:jc w:val="right"/>
            </w:pPr>
            <w:r/>
            <w:r>
              <w:rPr>
                <w:rFonts w:ascii="Arial" w:hAnsi="Arial"/>
                <w:sz w:val="17"/>
              </w:rPr>
              <w:t>2.34</w:t>
            </w:r>
          </w:p>
        </w:tc>
        <w:tc>
          <w:tcPr>
            <w:tcW w:type="dxa" w:w="1512"/>
            <w:shd w:val="clear" w:color="auto" w:fill="F2F5F8"/>
          </w:tcPr>
          <w:p>
            <w:pPr>
              <w:spacing w:after="40"/>
              <w:jc w:val="right"/>
            </w:pPr>
            <w:r/>
            <w:r>
              <w:rPr>
                <w:rFonts w:ascii="Arial" w:hAnsi="Arial"/>
                <w:sz w:val="17"/>
              </w:rPr>
              <w:t>metered</w:t>
            </w:r>
          </w:p>
        </w:tc>
        <w:tc>
          <w:tcPr>
            <w:tcW w:type="dxa" w:w="3312"/>
            <w:shd w:val="clear" w:color="auto" w:fill="F2F5F8"/>
          </w:tcPr>
          <w:p>
            <w:pPr>
              <w:spacing w:after="40"/>
              <w:jc w:val="right"/>
            </w:pPr>
            <w:r/>
            <w:r>
              <w:rPr>
                <w:rFonts w:ascii="Arial" w:hAnsi="Arial"/>
                <w:sz w:val="17"/>
              </w:rPr>
              <w:t>Direct and continuous, but spans only a narrow band</w:t>
            </w:r>
          </w:p>
        </w:tc>
      </w:tr>
    </w:tbl>
    <w:p>
      <w:pPr>
        <w:spacing w:after="200"/>
      </w:pPr>
      <w:r>
        <w:rPr>
          <w:rFonts w:ascii="Arial" w:hAnsi="Arial"/>
          <w:b w:val="0"/>
          <w:i/>
          <w:color w:val="5B6B7A"/>
          <w:sz w:val="16"/>
        </w:rPr>
        <w:t>Table 2 — The 2022 figure is the weakest of the three non-nominal sources despite looking the most precise: its litres are what a fuel model predicts for that window, so it inherits both model error and any in-service burn premium. It should not be weighed equally with the two metered figures.</w:t>
      </w:r>
    </w:p>
    <w:p>
      <w:pPr>
        <w:jc w:val="center"/>
      </w:pPr>
      <w:r>
        <w:drawing>
          <wp:inline xmlns:a="http://schemas.openxmlformats.org/drawingml/2006/main" xmlns:pic="http://schemas.openxmlformats.org/drawingml/2006/picture">
            <wp:extent cx="5669280" cy="3369526"/>
            <wp:docPr id="3" name="Picture 3"/>
            <wp:cNvGraphicFramePr>
              <a:graphicFrameLocks noChangeAspect="1"/>
            </wp:cNvGraphicFramePr>
            <a:graphic>
              <a:graphicData uri="http://schemas.openxmlformats.org/drawingml/2006/picture">
                <pic:pic>
                  <pic:nvPicPr>
                    <pic:cNvPr id="0" name="g4_capacity.png"/>
                    <pic:cNvPicPr/>
                  </pic:nvPicPr>
                  <pic:blipFill>
                    <a:blip r:embed="rId11"/>
                    <a:stretch>
                      <a:fillRect/>
                    </a:stretch>
                  </pic:blipFill>
                  <pic:spPr>
                    <a:xfrm>
                      <a:off x="0" y="0"/>
                      <a:ext cx="5669280" cy="3369526"/>
                    </a:xfrm>
                    <a:prstGeom prst="rect"/>
                  </pic:spPr>
                </pic:pic>
              </a:graphicData>
            </a:graphic>
          </wp:inline>
        </w:drawing>
      </w:r>
    </w:p>
    <w:p>
      <w:pPr>
        <w:spacing w:after="240"/>
        <w:jc w:val="center"/>
      </w:pPr>
      <w:r>
        <w:rPr>
          <w:rFonts w:ascii="Arial" w:hAnsi="Arial"/>
          <w:b w:val="0"/>
          <w:i/>
          <w:color w:val="5B6B7A"/>
          <w:sz w:val="17"/>
        </w:rPr>
        <w:t>Figure 4 — Implied usable capacity by source. The two metered sources agree closely; the nominal figure stands apart, and the modelled 2022 figure sits low for the reasons in Table 2.</w:t>
      </w:r>
    </w:p>
    <w:p>
      <w:pPr>
        <w:spacing w:after="120"/>
      </w:pPr>
      <w:r>
        <w:rPr>
          <w:rFonts w:ascii="Arial" w:hAnsi="Arial"/>
          <w:b w:val="0"/>
          <w:i w:val="0"/>
          <w:sz w:val="20"/>
        </w:rPr>
        <w:t>The two sources that measure real litres — the DD2024 refuel and the flow meter — agree to within 1.6 sigma despite sharing no data, no method and no year. That agreement is the strongest single result here.</w:t>
      </w:r>
    </w:p>
    <w:p>
      <w:pPr>
        <w:pStyle w:val="Heading1"/>
      </w:pPr>
      <w:r>
        <w:t>5.  Is the gauge non-linear? Not established.</w:t>
      </w:r>
    </w:p>
    <w:p>
      <w:pPr>
        <w:spacing w:after="120"/>
      </w:pPr>
      <w:r>
        <w:rPr>
          <w:rFonts w:ascii="Arial" w:hAnsi="Arial"/>
          <w:b w:val="0"/>
          <w:i w:val="0"/>
          <w:sz w:val="20"/>
        </w:rPr>
        <w:t>Each drawdown covers a different band, and their litres-per-point differ widely — from 1.02 over 75–81% to 3.64 over 93–100%. Read quickly, that looks like the gauge changing scale down the tank — and an earlier pass over the first few days recorded it as exactly that.</w:t>
      </w:r>
    </w:p>
    <w:p>
      <w:pPr>
        <w:spacing w:after="120"/>
      </w:pPr>
      <w:r>
        <w:rPr>
          <w:rFonts w:ascii="Arial" w:hAnsi="Arial"/>
          <w:b w:val="0"/>
          <w:i w:val="0"/>
          <w:sz w:val="20"/>
        </w:rPr>
        <w:t>It does not survive an error analysis, and the August 2026 data is the first that can put the question properly rather than merely restate it.</w:t>
      </w:r>
    </w:p>
    <w:p>
      <w:pPr>
        <w:jc w:val="center"/>
      </w:pPr>
      <w:r>
        <w:drawing>
          <wp:inline xmlns:a="http://schemas.openxmlformats.org/drawingml/2006/main" xmlns:pic="http://schemas.openxmlformats.org/drawingml/2006/picture">
            <wp:extent cx="5669280" cy="3439954"/>
            <wp:docPr id="4" name="Picture 4"/>
            <wp:cNvGraphicFramePr>
              <a:graphicFrameLocks noChangeAspect="1"/>
            </wp:cNvGraphicFramePr>
            <a:graphic>
              <a:graphicData uri="http://schemas.openxmlformats.org/drawingml/2006/picture">
                <pic:pic>
                  <pic:nvPicPr>
                    <pic:cNvPr id="0" name="g3_lpp.png"/>
                    <pic:cNvPicPr/>
                  </pic:nvPicPr>
                  <pic:blipFill>
                    <a:blip r:embed="rId12"/>
                    <a:stretch>
                      <a:fillRect/>
                    </a:stretch>
                  </pic:blipFill>
                  <pic:spPr>
                    <a:xfrm>
                      <a:off x="0" y="0"/>
                      <a:ext cx="5669280" cy="3439954"/>
                    </a:xfrm>
                    <a:prstGeom prst="rect"/>
                  </pic:spPr>
                </pic:pic>
              </a:graphicData>
            </a:graphic>
          </wp:inline>
        </w:drawing>
      </w:r>
    </w:p>
    <w:p>
      <w:pPr>
        <w:spacing w:after="240"/>
        <w:jc w:val="center"/>
      </w:pPr>
      <w:r>
        <w:rPr>
          <w:rFonts w:ascii="Arial" w:hAnsi="Arial"/>
          <w:b w:val="0"/>
          <w:i/>
          <w:color w:val="5B6B7A"/>
          <w:sz w:val="17"/>
        </w:rPr>
        <w:t>Figure 3 — The individual drawdowns with their uncertainties, the ten widest shown. Every bar overlaps its neighbours. The pooled value (red) is tight because it rests on the whole travelled drawdown rather than one fall.</w:t>
      </w:r>
    </w:p>
    <w:p>
      <w:pPr>
        <w:spacing w:before="80" w:after="40"/>
        <w:ind w:left="432"/>
      </w:pPr>
      <w:r>
        <w:rPr>
          <w:rFonts w:ascii="Consolas" w:hAnsi="Consolas"/>
          <w:b/>
          <w:sz w:val="19"/>
        </w:rPr>
        <w:t>widest gap:  3.64 − 1.02  =  2.62 L/pt</w:t>
        <w:br/>
        <w:t>combined 1σ: 0.38</w:t>
        <w:br/>
        <w:t>separation:  6.9 σ   →  the SCATTER is real; its CAUSE is the question</w:t>
      </w:r>
    </w:p>
    <w:p>
      <w:pPr>
        <w:spacing w:after="160"/>
        <w:ind w:left="432"/>
      </w:pPr>
      <w:r>
        <w:rPr>
          <w:rFonts w:ascii="Arial" w:hAnsi="Arial"/>
          <w:i/>
          <w:color w:val="5B6B7A"/>
          <w:sz w:val="17"/>
        </w:rPr>
        <w:t>Comparing the extremes of 17 falls is not a test of non-linearity — the widest gap in a sample that size is wide by construction. What it does establish is that the spread between drawdowns exceeds what gauge quantisation alone would produce, so something physical drives it. Depth is only one candidate, and the next block tests that one directly.</w:t>
      </w:r>
    </w:p>
    <w:p>
      <w:pPr>
        <w:spacing w:after="120"/>
      </w:pPr>
      <w:r>
        <w:rPr>
          <w:rFonts w:ascii="Arial" w:hAnsi="Arial"/>
          <w:b w:val="0"/>
          <w:i w:val="0"/>
          <w:sz w:val="20"/>
        </w:rPr>
        <w:t>The sharper test is no longer span against span but SHALLOW against DEEP, because the record now reaches far enough down the tank to ask it. Reading A predicts that points below the calibrated band are worth MORE litres than those inside it, so a deep drawdown should read higher:</w:t>
      </w:r>
    </w:p>
    <w:p>
      <w:pPr>
        <w:spacing w:before="80" w:after="40"/>
        <w:ind w:left="432"/>
      </w:pPr>
      <w:r>
        <w:rPr>
          <w:rFonts w:ascii="Consolas" w:hAnsi="Consolas"/>
          <w:b/>
          <w:sz w:val="19"/>
        </w:rPr>
        <w:t>shallow (72–86%):  1.85 L/pt   over 7 falls</w:t>
        <w:br/>
        <w:t>deep (below 62%):  2.35 L/pt   over 4 falls</w:t>
        <w:br/>
        <w:t>separation:        1.2 σ   →  not significant</w:t>
      </w:r>
    </w:p>
    <w:p>
      <w:pPr>
        <w:spacing w:after="160"/>
        <w:ind w:left="432"/>
      </w:pPr>
      <w:r>
        <w:rPr>
          <w:rFonts w:ascii="Arial" w:hAnsi="Arial"/>
          <w:i/>
          <w:color w:val="5B6B7A"/>
          <w:sz w:val="17"/>
        </w:rPr>
        <w:t>The deep spans are the ones that did not exist before August 2026; everything earlier stopped at 72%.</w:t>
      </w:r>
    </w:p>
    <w:p>
      <w:pPr>
        <w:spacing w:after="120"/>
      </w:pPr>
      <w:r>
        <w:rPr>
          <w:rFonts w:ascii="Arial" w:hAnsi="Arial"/>
          <w:b w:val="0"/>
          <w:i w:val="0"/>
          <w:sz w:val="20"/>
        </w:rPr>
        <w:t>The deep band does read higher, in the direction reading A predicts — but at 1.2 sigma that is not a result, it is the same size of difference this report already retracted once. Suggestive is not established, and the distinction is the entire subject of this document.</w:t>
      </w:r>
    </w:p>
    <w:p>
      <w:pPr>
        <w:spacing w:after="120"/>
      </w:pPr>
      <w:r>
        <w:rPr>
          <w:rFonts w:ascii="Arial" w:hAnsi="Arial"/>
          <w:b w:val="0"/>
          <w:i w:val="0"/>
          <w:sz w:val="20"/>
        </w:rPr>
        <w:t>So the two results point in different directions, and both belong in the record. The scatter between drawdowns is larger than quantisation explains, which says a real effect is at work — sloshing and trim while under way, sender hysteresis, and temperature are all candidates this data cannot separate. But that scatter is NOT organised by depth, which is what non-linearity would look like. A real effect that is not the one under test does not establish the one under test.</w:t>
      </w:r>
    </w:p>
    <w:p>
      <w:pPr>
        <w:spacing w:after="120"/>
      </w:pPr>
      <w:r>
        <w:rPr>
          <w:rFonts w:ascii="Arial" w:hAnsi="Arial"/>
          <w:b w:val="0"/>
          <w:i w:val="0"/>
          <w:sz w:val="20"/>
        </w:rPr>
        <w:t>Pushing to finer resolution makes this worse rather than better: computing litres for each individual gauge point gives values ranging from about 0.2 to 5.0 L — a scatter larger than the quantity being measured.</w:t>
      </w:r>
    </w:p>
    <w:p>
      <w:pPr>
        <w:spacing w:after="120"/>
      </w:pPr>
      <w:r>
        <w:rPr>
          <w:rFonts w:ascii="Arial" w:hAnsi="Arial"/>
          <w:b w:val="0"/>
          <w:i w:val="0"/>
          <w:sz w:val="20"/>
        </w:rPr>
        <w:t>None of this disproves non-linearity — a float sender in a tank that is not a uniform prism has every physical reason to be non-linear, and the DD2024 whole-range figure sitting close to the narrow-band figure is mildly reassuring rather than conclusive. The honest statement is that the effect, if present, is smaller than this measurement can resolve.</w:t>
      </w:r>
    </w:p>
    <w:tbl>
      <w:tblPr>
        <w:tblW w:type="auto" w:w="0"/>
        <w:jc w:val="center"/>
        <w:tblLook w:firstColumn="1" w:firstRow="1" w:lastColumn="0" w:lastRow="0" w:noHBand="0" w:noVBand="1" w:val="04A0"/>
      </w:tblPr>
      <w:tblGrid>
        <w:gridCol w:w="9360"/>
      </w:tblGrid>
      <w:tr>
        <w:trPr>
          <w:cantSplit/>
        </w:trPr>
        <w:tc>
          <w:tcPr>
            <w:tcW w:type="dxa" w:w="9072"/>
            <w:shd w:val="clear" w:color="auto" w:fill="FDF3E0"/>
          </w:tcPr>
          <w:p>
            <w:pPr>
              <w:spacing w:after="40"/>
            </w:pPr>
            <w:r/>
            <w:r>
              <w:rPr>
                <w:rFonts w:ascii="Arial" w:hAnsi="Arial"/>
                <w:b/>
                <w:color w:val="9A6400"/>
                <w:sz w:val="19"/>
              </w:rPr>
              <w:t>Correction to the earlier record</w:t>
            </w:r>
          </w:p>
          <w:p>
            <w:pPr>
              <w:spacing w:after="40"/>
            </w:pPr>
            <w:r>
              <w:rPr>
                <w:rFonts w:ascii="Arial" w:hAnsi="Arial"/>
                <w:sz w:val="18"/>
              </w:rPr>
              <w:t>A previous analysis of the first few days recorded the per-day spread as demonstrating non-linearity, and that statement propagated into the model file and the project notes. It was over-read. The correct position: the gauge SCALE is firmly established as well below nominal; the question of whether that scale varies with level is open, and this data cannot close it. The model file and notes have been corrected to say so.</w:t>
            </w:r>
          </w:p>
        </w:tc>
      </w:tr>
    </w:tbl>
    <w:p>
      <w:pPr>
        <w:pStyle w:val="Heading2"/>
      </w:pPr>
      <w:r>
        <w:t>5.1  What this measures, and what the planner uses</w:t>
      </w:r>
    </w:p>
    <w:p>
      <w:pPr>
        <w:spacing w:after="120"/>
      </w:pPr>
      <w:r>
        <w:rPr>
          <w:rFonts w:ascii="Arial" w:hAnsi="Arial"/>
          <w:b w:val="0"/>
          <w:i w:val="0"/>
          <w:sz w:val="20"/>
        </w:rPr>
        <w:t>These are not the same number, and the difference is deliberate. This report measures 2.34 ± 0.16 L per point over 37–100%. The planner is still configured with 2.06 L per point over 72–86%, which is what every fuel figure in the companion report and every plan the tool produces rests 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736"/>
            <w:shd w:val="clear" w:color="auto" w:fill="1F3B60"/>
          </w:tcPr>
          <w:p>
            <w:pPr>
              <w:spacing w:after="40"/>
            </w:pPr>
            <w:r/>
            <w:r>
              <w:rPr>
                <w:rFonts w:ascii="Arial" w:hAnsi="Arial"/>
                <w:b/>
                <w:color w:val="FFFFFF"/>
                <w:sz w:val="17"/>
              </w:rPr>
            </w:r>
          </w:p>
        </w:tc>
        <w:tc>
          <w:tcPr>
            <w:tcW w:type="dxa" w:w="1656"/>
            <w:shd w:val="clear" w:color="auto" w:fill="1F3B60"/>
          </w:tcPr>
          <w:p>
            <w:pPr>
              <w:spacing w:after="40"/>
            </w:pPr>
            <w:r/>
            <w:r>
              <w:rPr>
                <w:rFonts w:ascii="Arial" w:hAnsi="Arial"/>
                <w:b/>
                <w:color w:val="FFFFFF"/>
                <w:sz w:val="17"/>
              </w:rPr>
              <w:t>L per point</w:t>
            </w:r>
          </w:p>
        </w:tc>
        <w:tc>
          <w:tcPr>
            <w:tcW w:type="dxa" w:w="1440"/>
            <w:shd w:val="clear" w:color="auto" w:fill="1F3B60"/>
          </w:tcPr>
          <w:p>
            <w:pPr>
              <w:spacing w:after="40"/>
            </w:pPr>
            <w:r/>
            <w:r>
              <w:rPr>
                <w:rFonts w:ascii="Arial" w:hAnsi="Arial"/>
                <w:b/>
                <w:color w:val="FFFFFF"/>
                <w:sz w:val="17"/>
              </w:rPr>
              <w:t>Band</w:t>
            </w:r>
          </w:p>
        </w:tc>
        <w:tc>
          <w:tcPr>
            <w:tcW w:type="dxa" w:w="2160"/>
            <w:shd w:val="clear" w:color="auto" w:fill="1F3B60"/>
          </w:tcPr>
          <w:p>
            <w:pPr>
              <w:spacing w:after="40"/>
            </w:pPr>
            <w:r/>
            <w:r>
              <w:rPr>
                <w:rFonts w:ascii="Arial" w:hAnsi="Arial"/>
                <w:b/>
                <w:color w:val="FFFFFF"/>
                <w:sz w:val="17"/>
              </w:rPr>
              <w:t>Evidence</w:t>
            </w:r>
          </w:p>
        </w:tc>
      </w:tr>
      <w:tr>
        <w:tc>
          <w:tcPr>
            <w:tcW w:type="dxa" w:w="2736"/>
          </w:tcPr>
          <w:p>
            <w:pPr>
              <w:spacing w:after="40"/>
            </w:pPr>
            <w:r/>
            <w:r>
              <w:rPr>
                <w:rFonts w:ascii="Arial" w:hAnsi="Arial"/>
                <w:sz w:val="17"/>
              </w:rPr>
              <w:t>Adopted in model.json</w:t>
            </w:r>
          </w:p>
        </w:tc>
        <w:tc>
          <w:tcPr>
            <w:tcW w:type="dxa" w:w="1656"/>
          </w:tcPr>
          <w:p>
            <w:pPr>
              <w:spacing w:after="40"/>
            </w:pPr>
            <w:r/>
            <w:r>
              <w:rPr>
                <w:rFonts w:ascii="Arial" w:hAnsi="Arial"/>
                <w:sz w:val="17"/>
              </w:rPr>
              <w:t>2.06 ± 0.11</w:t>
            </w:r>
          </w:p>
        </w:tc>
        <w:tc>
          <w:tcPr>
            <w:tcW w:type="dxa" w:w="1440"/>
          </w:tcPr>
          <w:p>
            <w:pPr>
              <w:spacing w:after="40"/>
            </w:pPr>
            <w:r/>
            <w:r>
              <w:rPr>
                <w:rFonts w:ascii="Arial" w:hAnsi="Arial"/>
                <w:sz w:val="17"/>
              </w:rPr>
              <w:t>72–86%</w:t>
            </w:r>
          </w:p>
        </w:tc>
        <w:tc>
          <w:tcPr>
            <w:tcW w:type="dxa" w:w="2160"/>
          </w:tcPr>
          <w:p>
            <w:pPr>
              <w:spacing w:after="40"/>
            </w:pPr>
            <w:r/>
            <w:r>
              <w:rPr>
                <w:rFonts w:ascii="Arial" w:hAnsi="Arial"/>
                <w:sz w:val="17"/>
              </w:rPr>
              <w:t>26.7 L over 13 points</w:t>
            </w:r>
          </w:p>
        </w:tc>
      </w:tr>
      <w:tr>
        <w:tc>
          <w:tcPr>
            <w:tcW w:type="dxa" w:w="2736"/>
            <w:shd w:val="clear" w:color="auto" w:fill="F2F5F8"/>
          </w:tcPr>
          <w:p>
            <w:pPr>
              <w:spacing w:after="40"/>
            </w:pPr>
            <w:r/>
            <w:r>
              <w:rPr>
                <w:rFonts w:ascii="Arial" w:hAnsi="Arial"/>
                <w:sz w:val="17"/>
              </w:rPr>
              <w:t>Measured here</w:t>
            </w:r>
          </w:p>
        </w:tc>
        <w:tc>
          <w:tcPr>
            <w:tcW w:type="dxa" w:w="1656"/>
            <w:shd w:val="clear" w:color="auto" w:fill="F2F5F8"/>
          </w:tcPr>
          <w:p>
            <w:pPr>
              <w:spacing w:after="40"/>
            </w:pPr>
            <w:r/>
            <w:r>
              <w:rPr>
                <w:rFonts w:ascii="Arial" w:hAnsi="Arial"/>
                <w:sz w:val="17"/>
              </w:rPr>
              <w:t>2.34 ± 0.16</w:t>
            </w:r>
          </w:p>
        </w:tc>
        <w:tc>
          <w:tcPr>
            <w:tcW w:type="dxa" w:w="1440"/>
            <w:shd w:val="clear" w:color="auto" w:fill="F2F5F8"/>
          </w:tcPr>
          <w:p>
            <w:pPr>
              <w:spacing w:after="40"/>
            </w:pPr>
            <w:r/>
            <w:r>
              <w:rPr>
                <w:rFonts w:ascii="Arial" w:hAnsi="Arial"/>
                <w:sz w:val="17"/>
              </w:rPr>
              <w:t>37–100%</w:t>
            </w:r>
          </w:p>
        </w:tc>
        <w:tc>
          <w:tcPr>
            <w:tcW w:type="dxa" w:w="2160"/>
            <w:shd w:val="clear" w:color="auto" w:fill="F2F5F8"/>
          </w:tcPr>
          <w:p>
            <w:pPr>
              <w:spacing w:after="40"/>
            </w:pPr>
            <w:r/>
            <w:r>
              <w:rPr>
                <w:rFonts w:ascii="Arial" w:hAnsi="Arial"/>
                <w:sz w:val="17"/>
              </w:rPr>
              <w:t>212 L over 90 points</w:t>
            </w:r>
          </w:p>
        </w:tc>
      </w:tr>
      <w:tr>
        <w:tc>
          <w:tcPr>
            <w:tcW w:type="dxa" w:w="2736"/>
          </w:tcPr>
          <w:p>
            <w:pPr>
              <w:spacing w:after="40"/>
            </w:pPr>
            <w:r/>
            <w:r>
              <w:rPr>
                <w:rFonts w:ascii="Arial" w:hAnsi="Arial"/>
                <w:sz w:val="17"/>
              </w:rPr>
              <w:t>Measured here, restricted to the adopted band</w:t>
            </w:r>
          </w:p>
        </w:tc>
        <w:tc>
          <w:tcPr>
            <w:tcW w:type="dxa" w:w="1656"/>
          </w:tcPr>
          <w:p>
            <w:pPr>
              <w:spacing w:after="40"/>
            </w:pPr>
            <w:r/>
            <w:r>
              <w:rPr>
                <w:rFonts w:ascii="Arial" w:hAnsi="Arial"/>
                <w:sz w:val="17"/>
              </w:rPr>
              <w:t>1.85</w:t>
            </w:r>
          </w:p>
        </w:tc>
        <w:tc>
          <w:tcPr>
            <w:tcW w:type="dxa" w:w="1440"/>
          </w:tcPr>
          <w:p>
            <w:pPr>
              <w:spacing w:after="40"/>
            </w:pPr>
            <w:r/>
            <w:r>
              <w:rPr>
                <w:rFonts w:ascii="Arial" w:hAnsi="Arial"/>
                <w:sz w:val="17"/>
              </w:rPr>
              <w:t>72–86%</w:t>
            </w:r>
          </w:p>
        </w:tc>
        <w:tc>
          <w:tcPr>
            <w:tcW w:type="dxa" w:w="2160"/>
          </w:tcPr>
          <w:p>
            <w:pPr>
              <w:spacing w:after="40"/>
            </w:pPr>
            <w:r/>
            <w:r>
              <w:rPr>
                <w:rFonts w:ascii="Arial" w:hAnsi="Arial"/>
                <w:sz w:val="17"/>
              </w:rPr>
              <w:t>7 falls</w:t>
            </w:r>
          </w:p>
        </w:tc>
      </w:tr>
    </w:tbl>
    <w:p>
      <w:pPr>
        <w:spacing w:after="200"/>
      </w:pPr>
      <w:r>
        <w:rPr>
          <w:rFonts w:ascii="Arial" w:hAnsi="Arial"/>
          <w:b w:val="0"/>
          <w:i/>
          <w:color w:val="5B6B7A"/>
          <w:sz w:val="16"/>
        </w:rPr>
        <w:t>Table 5 — The pooled figure sits 1.4 sigma from the adopted one, which is below the bar this report uses everywhere else. Restricted to the SAME band the adopted figure was measured over, the new data reads lower, not higher.</w:t>
      </w:r>
    </w:p>
    <w:p>
      <w:pPr>
        <w:spacing w:after="120"/>
      </w:pPr>
      <w:r>
        <w:rPr>
          <w:rFonts w:ascii="Arial" w:hAnsi="Arial"/>
          <w:b w:val="0"/>
          <w:i w:val="0"/>
          <w:sz w:val="20"/>
        </w:rPr>
        <w:t>The reasoning for leaving it alone: the two differ by 1.4 sigma, which is the same size of difference section 5 has just declined to call a finding; within the adopted band the new spans read 1.85, on the other side of it; and the direction of the change is the unsafe one — a larger litres-per-point means each indicated point is worth more fuel, so every mission would be planned longer. A number that moves planning that way should clear the bar, not sit under it.</w:t>
      </w:r>
    </w:p>
    <w:p>
      <w:pPr>
        <w:spacing w:after="120"/>
      </w:pPr>
      <w:r>
        <w:rPr>
          <w:rFonts w:ascii="Arial" w:hAnsi="Arial"/>
          <w:b w:val="0"/>
          <w:i w:val="0"/>
          <w:sz w:val="20"/>
        </w:rPr>
        <w:t>What the new data does change is reach. Every calibration before August 2026 came from the top third of the gauge; these drawdowns reach 37%, which is most of the way to the 25% floor. The band below the floor remains uncalibrated, and the experiment in section 7 is unchanged.</w:t>
      </w:r>
    </w:p>
    <w:p>
      <w:pPr>
        <w:pStyle w:val="Heading1"/>
      </w:pPr>
      <w:r>
        <w:t>6.  What the reserve is actually worth</w:t>
      </w:r>
    </w:p>
    <w:p>
      <w:pPr>
        <w:spacing w:after="120"/>
      </w:pPr>
      <w:r>
        <w:rPr>
          <w:rFonts w:ascii="Arial" w:hAnsi="Arial"/>
          <w:b w:val="0"/>
          <w:i w:val="0"/>
          <w:sz w:val="20"/>
        </w:rPr>
        <w:t>The reserve is set in indicated percent, so its value in litres follows directly from the calibration.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736"/>
            <w:shd w:val="clear" w:color="auto" w:fill="1F3B60"/>
          </w:tcPr>
          <w:p>
            <w:pPr>
              <w:spacing w:after="40"/>
            </w:pPr>
            <w:r/>
            <w:r>
              <w:rPr>
                <w:rFonts w:ascii="Arial" w:hAnsi="Arial"/>
                <w:b/>
                <w:color w:val="FFFFFF"/>
                <w:sz w:val="17"/>
              </w:rPr>
              <w:t>Basis</w:t>
            </w:r>
          </w:p>
        </w:tc>
        <w:tc>
          <w:tcPr>
            <w:tcW w:type="dxa" w:w="1584"/>
            <w:shd w:val="clear" w:color="auto" w:fill="1F3B60"/>
          </w:tcPr>
          <w:p>
            <w:pPr>
              <w:spacing w:after="40"/>
              <w:jc w:val="right"/>
            </w:pPr>
            <w:r/>
            <w:r>
              <w:rPr>
                <w:rFonts w:ascii="Arial" w:hAnsi="Arial"/>
                <w:b/>
                <w:color w:val="FFFFFF"/>
                <w:sz w:val="17"/>
              </w:rPr>
              <w:t>L per point</w:t>
            </w:r>
          </w:p>
        </w:tc>
        <w:tc>
          <w:tcPr>
            <w:tcW w:type="dxa" w:w="1584"/>
            <w:shd w:val="clear" w:color="auto" w:fill="1F3B60"/>
          </w:tcPr>
          <w:p>
            <w:pPr>
              <w:spacing w:after="40"/>
              <w:jc w:val="right"/>
            </w:pPr>
            <w:r/>
            <w:r>
              <w:rPr>
                <w:rFonts w:ascii="Arial" w:hAnsi="Arial"/>
                <w:b/>
                <w:color w:val="FFFFFF"/>
                <w:sz w:val="17"/>
              </w:rPr>
              <w:t>15 points =</w:t>
            </w:r>
          </w:p>
        </w:tc>
        <w:tc>
          <w:tcPr>
            <w:tcW w:type="dxa" w:w="1872"/>
            <w:shd w:val="clear" w:color="auto" w:fill="1F3B60"/>
          </w:tcPr>
          <w:p>
            <w:pPr>
              <w:spacing w:after="40"/>
              <w:jc w:val="right"/>
            </w:pPr>
            <w:r/>
            <w:r>
              <w:rPr>
                <w:rFonts w:ascii="Arial" w:hAnsi="Arial"/>
                <w:b/>
                <w:color w:val="FFFFFF"/>
                <w:sz w:val="17"/>
              </w:rPr>
              <w:t>Against nominal</w:t>
            </w:r>
          </w:p>
        </w:tc>
      </w:tr>
      <w:tr>
        <w:tc>
          <w:tcPr>
            <w:tcW w:type="dxa" w:w="2736"/>
          </w:tcPr>
          <w:p>
            <w:pPr>
              <w:spacing w:after="40"/>
            </w:pPr>
            <w:r/>
            <w:r>
              <w:rPr>
                <w:rFonts w:ascii="Arial" w:hAnsi="Arial"/>
                <w:sz w:val="17"/>
              </w:rPr>
              <w:t>Nominal 250 L linear</w:t>
            </w:r>
          </w:p>
        </w:tc>
        <w:tc>
          <w:tcPr>
            <w:tcW w:type="dxa" w:w="1584"/>
          </w:tcPr>
          <w:p>
            <w:pPr>
              <w:spacing w:after="40"/>
              <w:jc w:val="right"/>
            </w:pPr>
            <w:r/>
            <w:r>
              <w:rPr>
                <w:rFonts w:ascii="Arial" w:hAnsi="Arial"/>
                <w:sz w:val="17"/>
              </w:rPr>
              <w:t>2.50</w:t>
            </w:r>
          </w:p>
        </w:tc>
        <w:tc>
          <w:tcPr>
            <w:tcW w:type="dxa" w:w="1584"/>
          </w:tcPr>
          <w:p>
            <w:pPr>
              <w:spacing w:after="40"/>
              <w:jc w:val="right"/>
            </w:pPr>
            <w:r/>
            <w:r>
              <w:rPr>
                <w:rFonts w:ascii="Arial" w:hAnsi="Arial"/>
                <w:sz w:val="17"/>
              </w:rPr>
              <w:t>37.5 L</w:t>
            </w:r>
          </w:p>
        </w:tc>
        <w:tc>
          <w:tcPr>
            <w:tcW w:type="dxa" w:w="1872"/>
          </w:tcPr>
          <w:p>
            <w:pPr>
              <w:spacing w:after="40"/>
              <w:jc w:val="right"/>
            </w:pPr>
            <w:r/>
            <w:r>
              <w:rPr>
                <w:rFonts w:ascii="Arial" w:hAnsi="Arial"/>
                <w:sz w:val="17"/>
              </w:rPr>
              <w:t>—</w:t>
            </w:r>
          </w:p>
        </w:tc>
      </w:tr>
      <w:tr>
        <w:tc>
          <w:tcPr>
            <w:tcW w:type="dxa" w:w="2736"/>
            <w:shd w:val="clear" w:color="auto" w:fill="F2F5F8"/>
          </w:tcPr>
          <w:p>
            <w:pPr>
              <w:spacing w:after="40"/>
            </w:pPr>
            <w:r/>
            <w:r>
              <w:rPr>
                <w:rFonts w:ascii="Arial" w:hAnsi="Arial"/>
                <w:sz w:val="17"/>
              </w:rPr>
              <w:t>Measured (this band)</w:t>
            </w:r>
          </w:p>
        </w:tc>
        <w:tc>
          <w:tcPr>
            <w:tcW w:type="dxa" w:w="1584"/>
            <w:shd w:val="clear" w:color="auto" w:fill="F2F5F8"/>
          </w:tcPr>
          <w:p>
            <w:pPr>
              <w:spacing w:after="40"/>
              <w:jc w:val="right"/>
            </w:pPr>
            <w:r/>
            <w:r>
              <w:rPr>
                <w:rFonts w:ascii="Arial" w:hAnsi="Arial"/>
                <w:sz w:val="17"/>
              </w:rPr>
              <w:t>2.34</w:t>
            </w:r>
          </w:p>
        </w:tc>
        <w:tc>
          <w:tcPr>
            <w:tcW w:type="dxa" w:w="1584"/>
            <w:shd w:val="clear" w:color="auto" w:fill="F2F5F8"/>
          </w:tcPr>
          <w:p>
            <w:pPr>
              <w:spacing w:after="40"/>
              <w:jc w:val="right"/>
            </w:pPr>
            <w:r/>
            <w:r>
              <w:rPr>
                <w:rFonts w:ascii="Arial" w:hAnsi="Arial"/>
                <w:sz w:val="17"/>
              </w:rPr>
              <w:t>35.2 L</w:t>
            </w:r>
          </w:p>
        </w:tc>
        <w:tc>
          <w:tcPr>
            <w:tcW w:type="dxa" w:w="1872"/>
            <w:shd w:val="clear" w:color="auto" w:fill="F2F5F8"/>
          </w:tcPr>
          <w:p>
            <w:pPr>
              <w:spacing w:after="40"/>
              <w:jc w:val="right"/>
            </w:pPr>
            <w:r/>
            <w:r>
              <w:rPr>
                <w:rFonts w:ascii="Arial" w:hAnsi="Arial"/>
                <w:sz w:val="17"/>
              </w:rPr>
              <w:t>-2.3 L</w:t>
            </w:r>
          </w:p>
        </w:tc>
      </w:tr>
      <w:tr>
        <w:tc>
          <w:tcPr>
            <w:tcW w:type="dxa" w:w="2736"/>
          </w:tcPr>
          <w:p>
            <w:pPr>
              <w:spacing w:after="40"/>
            </w:pPr>
            <w:r/>
            <w:r>
              <w:rPr>
                <w:rFonts w:ascii="Arial" w:hAnsi="Arial"/>
                <w:sz w:val="17"/>
              </w:rPr>
              <w:t>DD2024 whole range</w:t>
            </w:r>
          </w:p>
        </w:tc>
        <w:tc>
          <w:tcPr>
            <w:tcW w:type="dxa" w:w="1584"/>
          </w:tcPr>
          <w:p>
            <w:pPr>
              <w:spacing w:after="40"/>
              <w:jc w:val="right"/>
            </w:pPr>
            <w:r/>
            <w:r>
              <w:rPr>
                <w:rFonts w:ascii="Arial" w:hAnsi="Arial"/>
                <w:sz w:val="17"/>
              </w:rPr>
              <w:t>2.09</w:t>
            </w:r>
          </w:p>
        </w:tc>
        <w:tc>
          <w:tcPr>
            <w:tcW w:type="dxa" w:w="1584"/>
          </w:tcPr>
          <w:p>
            <w:pPr>
              <w:spacing w:after="40"/>
              <w:jc w:val="right"/>
            </w:pPr>
            <w:r/>
            <w:r>
              <w:rPr>
                <w:rFonts w:ascii="Arial" w:hAnsi="Arial"/>
                <w:sz w:val="17"/>
              </w:rPr>
              <w:t>31.3 L</w:t>
            </w:r>
          </w:p>
        </w:tc>
        <w:tc>
          <w:tcPr>
            <w:tcW w:type="dxa" w:w="1872"/>
          </w:tcPr>
          <w:p>
            <w:pPr>
              <w:spacing w:after="40"/>
              <w:jc w:val="right"/>
            </w:pPr>
            <w:r/>
            <w:r>
              <w:rPr>
                <w:rFonts w:ascii="Arial" w:hAnsi="Arial"/>
                <w:sz w:val="17"/>
              </w:rPr>
              <w:t>-6.2 L</w:t>
            </w:r>
          </w:p>
        </w:tc>
      </w:tr>
    </w:tbl>
    <w:p>
      <w:pPr>
        <w:spacing w:after="200"/>
      </w:pPr>
      <w:r>
        <w:rPr>
          <w:rFonts w:ascii="Arial" w:hAnsi="Arial"/>
          <w:b w:val="0"/>
          <w:i/>
          <w:color w:val="5B6B7A"/>
          <w:sz w:val="16"/>
        </w:rPr>
        <w:t>Table 3 — What fifteen indicated points buys. The measured figures assume the low band behaves like the measured band, which is precisely the untested assumption.</w:t>
      </w:r>
    </w:p>
    <w:p>
      <w:pPr>
        <w:spacing w:after="120"/>
      </w:pPr>
      <w:r>
        <w:rPr>
          <w:rFonts w:ascii="Arial" w:hAnsi="Arial"/>
          <w:b w:val="0"/>
          <w:i w:val="0"/>
          <w:sz w:val="20"/>
        </w:rPr>
        <w:t>On the measured scale the reserve is worth about 35 L rather than the 38 L a nominal reading implies — roughly 2 L less margin than assumed. At survey speed that is on the order of an hour of endurance. It does not make the reserve unsafe, but it does mean the reserve is smaller than the number suggests, and it argues for planning on the evidence-based capacity rather than the nominal.</w:t>
      </w:r>
    </w:p>
    <w:tbl>
      <w:tblPr>
        <w:tblW w:type="auto" w:w="0"/>
        <w:jc w:val="center"/>
        <w:tblLook w:firstColumn="1" w:firstRow="1" w:lastColumn="0" w:lastRow="0" w:noHBand="0" w:noVBand="1" w:val="04A0"/>
      </w:tblPr>
      <w:tblGrid>
        <w:gridCol w:w="9360"/>
      </w:tblGrid>
      <w:tr>
        <w:trPr>
          <w:cantSplit/>
        </w:trPr>
        <w:tc>
          <w:tcPr>
            <w:tcW w:type="dxa" w:w="9072"/>
            <w:shd w:val="clear" w:color="auto" w:fill="FDF3E0"/>
          </w:tcPr>
          <w:p>
            <w:pPr>
              <w:spacing w:after="40"/>
            </w:pPr>
            <w:r/>
            <w:r>
              <w:rPr>
                <w:rFonts w:ascii="Arial" w:hAnsi="Arial"/>
                <w:b/>
                <w:color w:val="9A6400"/>
                <w:sz w:val="19"/>
              </w:rPr>
              <w:t>The band that matters is the one never measured</w:t>
            </w:r>
          </w:p>
          <w:p>
            <w:pPr>
              <w:spacing w:after="40"/>
            </w:pPr>
            <w:r>
              <w:rPr>
                <w:rFonts w:ascii="Arial" w:hAnsi="Arial"/>
                <w:sz w:val="18"/>
              </w:rPr>
              <w:t>Every measurement here comes from the top third of the tank, because the reserve policy means the vehicle rarely goes lower and returns are made well above the floor. The 25% reserve sits in a region for which there is no direct calibration at all. If the gauge is non-linear anywhere, the bottom is where a float sender is most likely to misbehave — and that is exactly where the reserve decision is made.</w:t>
            </w:r>
          </w:p>
        </w:tc>
      </w:tr>
    </w:tbl>
    <w:p>
      <w:pPr>
        <w:pStyle w:val="Heading1"/>
      </w:pPr>
      <w:r>
        <w:t>7.  What would settle it</w:t>
      </w:r>
    </w:p>
    <w:p>
      <w:pPr>
        <w:pStyle w:val="ListBullet"/>
        <w:spacing w:after="60"/>
      </w:pPr>
      <w:r>
        <w:rPr>
          <w:rFonts w:ascii="Arial" w:hAnsi="Arial"/>
          <w:b/>
          <w:sz w:val="20"/>
        </w:rPr>
        <w:t xml:space="preserve">Sound the tank. </w:t>
      </w:r>
      <w:r>
        <w:rPr>
          <w:rFonts w:ascii="Arial" w:hAnsi="Arial"/>
          <w:sz w:val="20"/>
        </w:rPr>
        <w:t>A dowel against a known fill ends the capacity question outright and costs one afternoon alongside. It was suggested in the DD2024 thread and remains the single highest-value measurement available.</w:t>
      </w:r>
    </w:p>
    <w:p>
      <w:pPr>
        <w:pStyle w:val="ListBullet"/>
        <w:spacing w:after="60"/>
      </w:pPr>
      <w:r>
        <w:rPr>
          <w:rFonts w:ascii="Arial" w:hAnsi="Arial"/>
          <w:b/>
          <w:sz w:val="20"/>
        </w:rPr>
        <w:t xml:space="preserve">Log litres pumped against indicated level at every refuel. </w:t>
      </w:r>
      <w:r>
        <w:rPr>
          <w:rFonts w:ascii="Arial" w:hAnsi="Arial"/>
          <w:sz w:val="20"/>
        </w:rPr>
        <w:t>Record the level before and after with the volume. Fills that start from different levels build the calibration curve across bands the vehicle never burns through in normal operation.</w:t>
      </w:r>
    </w:p>
    <w:p>
      <w:pPr>
        <w:pStyle w:val="ListBullet"/>
        <w:spacing w:after="60"/>
      </w:pPr>
      <w:r>
        <w:rPr>
          <w:rFonts w:ascii="Arial" w:hAnsi="Arial"/>
          <w:b/>
          <w:sz w:val="20"/>
        </w:rPr>
        <w:t xml:space="preserve">Deliberately run one tank low, once. </w:t>
      </w:r>
      <w:r>
        <w:rPr>
          <w:rFonts w:ascii="Arial" w:hAnsi="Arial"/>
          <w:sz w:val="20"/>
        </w:rPr>
        <w:t>A single controlled drawdown into the reserve band, with the flow meter logging, would calibrate the region every planning decision depends on. Nothing else available does this. From the lowest level ever recorded (34%) down to the 25% floor is 9 indicated points: about 23 L and 7 hours at survey speed, or 22 hours at loiter, and it would fix litres per point to 7.8%. Half of it — down to 30% for 12 L and 3 hours — buys 15.6% and halves the blind band. No new instrumentation: both channels are already recorded.</w:t>
      </w:r>
    </w:p>
    <w:p>
      <w:pPr>
        <w:pStyle w:val="ListBullet"/>
        <w:spacing w:after="60"/>
      </w:pPr>
      <w:r>
        <w:rPr>
          <w:rFonts w:ascii="Arial" w:hAnsi="Arial"/>
          <w:b/>
          <w:sz w:val="20"/>
        </w:rPr>
        <w:t xml:space="preserve">Keep accumulating operating days. </w:t>
      </w:r>
      <w:r>
        <w:rPr>
          <w:rFonts w:ascii="Arial" w:hAnsi="Arial"/>
          <w:sz w:val="20"/>
        </w:rPr>
        <w:t>Each new day extends the band and tightens the pooled figure. Three more days at the current rate would roughly halve the uncertainty on any single band, which is what a non-linearity test actually needs.</w:t>
      </w:r>
    </w:p>
    <w:p>
      <w:pPr>
        <w:pStyle w:val="Heading1"/>
      </w:pPr>
      <w:r>
        <w:t>Appendix  —  Reproducing this report</w:t>
      </w:r>
    </w:p>
    <w:p>
      <w:pPr>
        <w:spacing w:before="80" w:after="40"/>
        <w:ind w:left="432"/>
      </w:pPr>
      <w:r>
        <w:rPr>
          <w:rFonts w:ascii="Consolas" w:hAnsi="Consolas"/>
          <w:b/>
          <w:sz w:val="19"/>
        </w:rPr>
        <w:t>python tools/extract_bags.py D:/Claude/Fuel/D8_2040</w:t>
        <w:br/>
        <w:t>python tools/build_gauge_report.py   [OUT.docx]</w:t>
        <w:br/>
        <w:t>powershell -File tools/export_pdf.ps1</w:t>
      </w:r>
    </w:p>
    <w:p>
      <w:pPr>
        <w:spacing w:after="160"/>
        <w:ind w:left="432"/>
      </w:pPr>
      <w:r>
        <w:rPr>
          <w:rFonts w:ascii="Arial" w:hAnsi="Arial"/>
          <w:i/>
          <w:color w:val="5B6B7A"/>
          <w:sz w:val="17"/>
        </w:rPr>
        <w:t>The report recomputes every figure and every number from the day caches, so re-running it after adding data produces a corrected document rather than a stale one. The significance test in section 5 is part of that recomputation — if accumulating data ever makes the band-to-band difference real, the document will say so. The PDF beside it is a Word export of the same file, produced by the third step; skip it and the PDF goes stale against the document it is named after, which is how a rebuilt report can still be read in its old form.</w:t>
      </w:r>
    </w:p>
    <w:p>
      <w:pPr>
        <w:spacing w:after="120"/>
      </w:pPr>
      <w:r>
        <w:rPr>
          <w:rFonts w:ascii="Arial" w:hAnsi="Arial"/>
          <w:b w:val="0"/>
          <w:i w:val="0"/>
          <w:sz w:val="20"/>
        </w:rPr>
        <w:t>Scope, stated so it is not mistaken for an omission: nothing here depends on the mission planner, the tidal forecast, or the mission geometry the planner gained during August 2026. Those change what a plan COSTS. They do not touch what a gauge point is worth, which is the only question this report asks — so this document was not left behind by that work, it is simply not about it.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6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160"/>
      <w:outlineLvl w:val="0"/>
    </w:pPr>
    <w:rPr>
      <w:rFonts w:asciiTheme="majorHAnsi" w:eastAsiaTheme="majorEastAsia" w:hAnsiTheme="majorHAnsi" w:cstheme="majorBidi" w:ascii="Arial" w:hAnsi="Arial"/>
      <w:b/>
      <w:bCs/>
      <w:color w:val="1F3B60"/>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260" w:after="100"/>
      <w:outlineLvl w:val="1"/>
    </w:pPr>
    <w:rPr>
      <w:rFonts w:asciiTheme="majorHAnsi" w:eastAsiaTheme="majorEastAsia" w:hAnsiTheme="majorHAnsi" w:cstheme="majorBidi" w:ascii="Arial" w:hAnsi="Arial"/>
      <w:b/>
      <w:bCs/>
      <w:color w:val="1F3B6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