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20"/>
      </w:pPr>
    </w:p>
    <w:p>
      <w:pPr>
        <w:spacing w:after="40"/>
        <w:jc w:val="center"/>
      </w:pPr>
      <w:r>
        <w:rPr>
          <w:rFonts w:ascii="Arial" w:hAnsi="Arial"/>
          <w:b/>
          <w:i w:val="0"/>
          <w:color w:val="1F3B60"/>
          <w:sz w:val="42"/>
        </w:rPr>
        <w:t>Estimating the Fuel Efficiency of the</w:t>
      </w:r>
    </w:p>
    <w:p>
      <w:pPr>
        <w:spacing w:after="280"/>
        <w:jc w:val="center"/>
      </w:pPr>
      <w:r>
        <w:rPr>
          <w:rFonts w:ascii="Arial" w:hAnsi="Arial"/>
          <w:b/>
          <w:i w:val="0"/>
          <w:color w:val="1F3B60"/>
          <w:sz w:val="42"/>
        </w:rPr>
        <w:t>Uncrewed Surface Vehicle DriX</w:t>
      </w:r>
    </w:p>
    <w:p>
      <w:pPr>
        <w:spacing w:after="520"/>
        <w:jc w:val="center"/>
      </w:pPr>
      <w:r>
        <w:rPr>
          <w:rFonts w:ascii="Arial" w:hAnsi="Arial"/>
          <w:b w:val="0"/>
          <w:i/>
          <w:color w:val="5B6B7A"/>
          <w:sz w:val="22"/>
        </w:rPr>
        <w:t>Derived fuel-rate and efficiency curves, variation between the 2022 and 2024 configurations, resolution of the tank-capacity discrepancy, and a mission planning framework</w:t>
      </w:r>
    </w:p>
    <w:tbl>
      <w:tblPr>
        <w:tblW w:type="auto" w:w="0"/>
        <w:jc w:val="center"/>
        <w:tblLayout w:type="fixed"/>
        <w:tblLook w:firstColumn="1" w:firstRow="1" w:lastColumn="0" w:lastRow="0" w:noHBand="0" w:noVBand="1" w:val="04A0"/>
      </w:tblPr>
      <w:tblGrid>
        <w:gridCol w:w="4680"/>
        <w:gridCol w:w="4680"/>
      </w:tblGrid>
      <w:tr>
        <w:tc>
          <w:tcPr>
            <w:tcW w:type="dxa" w:w="2160"/>
            <w:shd w:val="clear" w:color="auto" w:fill="1F3B60"/>
          </w:tcPr>
          <w:p>
            <w:pPr>
              <w:spacing w:after="40"/>
            </w:pPr>
            <w:r/>
            <w:r>
              <w:rPr>
                <w:rFonts w:ascii="Arial" w:hAnsi="Arial"/>
                <w:b/>
                <w:color w:val="FFFFFF"/>
                <w:sz w:val="18"/>
              </w:rPr>
            </w:r>
          </w:p>
        </w:tc>
        <w:tc>
          <w:tcPr>
            <w:tcW w:type="dxa" w:w="6912"/>
            <w:shd w:val="clear" w:color="auto" w:fill="1F3B60"/>
          </w:tcPr>
          <w:p>
            <w:pPr>
              <w:spacing w:after="40"/>
            </w:pPr>
            <w:r/>
            <w:r>
              <w:rPr>
                <w:rFonts w:ascii="Arial" w:hAnsi="Arial"/>
                <w:b/>
                <w:color w:val="FFFFFF"/>
                <w:sz w:val="18"/>
              </w:rPr>
            </w:r>
          </w:p>
        </w:tc>
      </w:tr>
      <w:tr>
        <w:tc>
          <w:tcPr>
            <w:tcW w:type="dxa" w:w="2160"/>
          </w:tcPr>
          <w:p>
            <w:pPr>
              <w:spacing w:after="40"/>
            </w:pPr>
            <w:r/>
            <w:r>
              <w:rPr>
                <w:rFonts w:ascii="Arial" w:hAnsi="Arial"/>
                <w:sz w:val="18"/>
              </w:rPr>
              <w:t>Subject vehicle</w:t>
            </w:r>
          </w:p>
        </w:tc>
        <w:tc>
          <w:tcPr>
            <w:tcW w:type="dxa" w:w="6912"/>
          </w:tcPr>
          <w:p>
            <w:pPr>
              <w:spacing w:after="40"/>
            </w:pPr>
            <w:r/>
            <w:r>
              <w:rPr>
                <w:rFonts w:ascii="Arial" w:hAnsi="Arial"/>
                <w:sz w:val="18"/>
              </w:rPr>
              <w:t>DriX-8 (CCOM / UNH), with reference to DriX-12 and DriX-23</w:t>
            </w:r>
          </w:p>
        </w:tc>
      </w:tr>
      <w:tr>
        <w:tc>
          <w:tcPr>
            <w:tcW w:type="dxa" w:w="2160"/>
            <w:shd w:val="clear" w:color="auto" w:fill="F2F5F8"/>
          </w:tcPr>
          <w:p>
            <w:pPr>
              <w:spacing w:after="40"/>
            </w:pPr>
            <w:r/>
            <w:r>
              <w:rPr>
                <w:rFonts w:ascii="Arial" w:hAnsi="Arial"/>
                <w:sz w:val="18"/>
              </w:rPr>
              <w:t>Primary data</w:t>
            </w:r>
          </w:p>
        </w:tc>
        <w:tc>
          <w:tcPr>
            <w:tcW w:type="dxa" w:w="6912"/>
            <w:shd w:val="clear" w:color="auto" w:fill="F2F5F8"/>
          </w:tcPr>
          <w:p>
            <w:pPr>
              <w:spacing w:after="40"/>
            </w:pPr>
            <w:r/>
            <w:r>
              <w:rPr>
                <w:rFonts w:ascii="Arial" w:hAnsi="Arial"/>
                <w:sz w:val="18"/>
              </w:rPr>
              <w:t>2024 shakedown fixed-RPM speed trials, 28 June 2024</w:t>
            </w:r>
          </w:p>
        </w:tc>
      </w:tr>
      <w:tr>
        <w:tc>
          <w:tcPr>
            <w:tcW w:type="dxa" w:w="2160"/>
          </w:tcPr>
          <w:p>
            <w:pPr>
              <w:spacing w:after="40"/>
            </w:pPr>
            <w:r/>
            <w:r>
              <w:rPr>
                <w:rFonts w:ascii="Arial" w:hAnsi="Arial"/>
                <w:sz w:val="18"/>
              </w:rPr>
              <w:t>Supporting data</w:t>
            </w:r>
          </w:p>
        </w:tc>
        <w:tc>
          <w:tcPr>
            <w:tcW w:type="dxa" w:w="6912"/>
          </w:tcPr>
          <w:p>
            <w:pPr>
              <w:spacing w:after="40"/>
            </w:pPr>
            <w:r/>
            <w:r>
              <w:rPr>
                <w:rFonts w:ascii="Arial" w:hAnsi="Arial"/>
                <w:sz w:val="18"/>
              </w:rPr>
              <w:t>2022 shakedown speed-vs-RPM; 2022 operational operational log; 2024 four-heading prop-efficiency test; DriX-8 MCAP logs 04–09 Aug 2026; Exail 2040 rate-of-effort model</w:t>
            </w:r>
          </w:p>
        </w:tc>
      </w:tr>
      <w:tr>
        <w:tc>
          <w:tcPr>
            <w:tcW w:type="dxa" w:w="2160"/>
            <w:shd w:val="clear" w:color="auto" w:fill="F2F5F8"/>
          </w:tcPr>
          <w:p>
            <w:pPr>
              <w:spacing w:after="40"/>
            </w:pPr>
            <w:r/>
            <w:r>
              <w:rPr>
                <w:rFonts w:ascii="Arial" w:hAnsi="Arial"/>
                <w:sz w:val="18"/>
              </w:rPr>
              <w:t>Derived from</w:t>
            </w:r>
          </w:p>
        </w:tc>
        <w:tc>
          <w:tcPr>
            <w:tcW w:type="dxa" w:w="6912"/>
            <w:shd w:val="clear" w:color="auto" w:fill="F2F5F8"/>
          </w:tcPr>
          <w:p>
            <w:pPr>
              <w:spacing w:after="40"/>
            </w:pPr>
            <w:r/>
            <w:r>
              <w:rPr>
                <w:rFonts w:ascii="Arial" w:hAnsi="Arial"/>
                <w:sz w:val="18"/>
              </w:rPr>
              <w:t>model.json v2.8.0 and the MCAP fit pipeline — every figure in this report is computed at build time</w:t>
            </w:r>
          </w:p>
        </w:tc>
      </w:tr>
      <w:tr>
        <w:tc>
          <w:tcPr>
            <w:tcW w:type="dxa" w:w="2160"/>
          </w:tcPr>
          <w:p>
            <w:pPr>
              <w:spacing w:after="40"/>
            </w:pPr>
            <w:r/>
            <w:r>
              <w:rPr>
                <w:rFonts w:ascii="Arial" w:hAnsi="Arial"/>
                <w:sz w:val="18"/>
              </w:rPr>
              <w:t>Builder</w:t>
            </w:r>
          </w:p>
        </w:tc>
        <w:tc>
          <w:tcPr>
            <w:tcW w:type="dxa" w:w="6912"/>
          </w:tcPr>
          <w:p>
            <w:pPr>
              <w:spacing w:after="40"/>
            </w:pPr>
            <w:r/>
            <w:r>
              <w:rPr>
                <w:rFonts w:ascii="Arial" w:hAnsi="Arial"/>
                <w:sz w:val="18"/>
              </w:rPr>
              <w:t>tools/build_report.py (regenerate; do not hand-edit)</w:t>
            </w:r>
          </w:p>
        </w:tc>
      </w:tr>
      <w:tr>
        <w:tc>
          <w:tcPr>
            <w:tcW w:type="dxa" w:w="2160"/>
            <w:shd w:val="clear" w:color="auto" w:fill="F2F5F8"/>
          </w:tcPr>
          <w:p>
            <w:pPr>
              <w:spacing w:after="40"/>
            </w:pPr>
            <w:r/>
            <w:r>
              <w:rPr>
                <w:rFonts w:ascii="Arial" w:hAnsi="Arial"/>
                <w:sz w:val="18"/>
              </w:rPr>
              <w:t>Companion tool</w:t>
            </w:r>
          </w:p>
        </w:tc>
        <w:tc>
          <w:tcPr>
            <w:tcW w:type="dxa" w:w="6912"/>
            <w:shd w:val="clear" w:color="auto" w:fill="F2F5F8"/>
          </w:tcPr>
          <w:p>
            <w:pPr>
              <w:spacing w:after="40"/>
            </w:pPr>
            <w:r/>
            <w:r>
              <w:rPr>
                <w:rFonts w:ascii="Arial" w:hAnsi="Arial"/>
                <w:sz w:val="18"/>
              </w:rPr>
              <w:t>DriX mission fuel planner — D:\Claude\Fuel</w:t>
            </w:r>
          </w:p>
        </w:tc>
      </w:tr>
      <w:tr>
        <w:tc>
          <w:tcPr>
            <w:tcW w:type="dxa" w:w="2160"/>
          </w:tcPr>
          <w:p>
            <w:pPr>
              <w:spacing w:after="40"/>
            </w:pPr>
            <w:r/>
            <w:r>
              <w:rPr>
                <w:rFonts w:ascii="Arial" w:hAnsi="Arial"/>
                <w:sz w:val="18"/>
              </w:rPr>
              <w:t>Date</w:t>
            </w:r>
          </w:p>
        </w:tc>
        <w:tc>
          <w:tcPr>
            <w:tcW w:type="dxa" w:w="6912"/>
          </w:tcPr>
          <w:p>
            <w:pPr>
              <w:spacing w:after="40"/>
            </w:pPr>
            <w:r/>
            <w:r>
              <w:rPr>
                <w:rFonts w:ascii="Arial" w:hAnsi="Arial"/>
                <w:sz w:val="18"/>
              </w:rPr>
              <w:t>18 August 2026  (model v2.8.0 — gauge-denominated reserve)</w:t>
            </w:r>
          </w:p>
        </w:tc>
      </w:tr>
    </w:tbl>
    <w:p>
      <w:pPr>
        <w:spacing w:after="120"/>
      </w:pP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How to read this report</w:t>
            </w:r>
          </w:p>
          <w:p>
            <w:pPr>
              <w:spacing w:after="40"/>
            </w:pPr>
            <w:r>
              <w:rPr>
                <w:rFonts w:ascii="Arial" w:hAnsi="Arial"/>
                <w:sz w:val="18"/>
              </w:rPr>
              <w:t>Every quantity is labelled either MEASURED — a regression against recorded data, with its fit statistics stated — or ASSUMED, meaning it is a judgement that can be changed. The distinction matters more than any single number here: the fuel curves are measured, the sea-state response is not, and conclusions that depend on the latter are given as sensitivity bands rather than point estimates.</w:t>
            </w:r>
          </w:p>
        </w:tc>
      </w:tr>
    </w:tbl>
    <w:p>
      <w:pPr>
        <w:spacing w:after="120"/>
      </w:pPr>
    </w:p>
    <w:p>
      <w:pPr>
        <w:pStyle w:val="Heading1"/>
      </w:pPr>
      <w:r>
        <w:t>1.  Executive summary</w:t>
      </w:r>
    </w:p>
    <w:p>
      <w:pPr>
        <w:spacing w:after="120"/>
      </w:pPr>
      <w:r>
        <w:rPr>
          <w:rFonts w:ascii="Arial" w:hAnsi="Arial"/>
          <w:b w:val="0"/>
          <w:i w:val="0"/>
          <w:sz w:val="20"/>
        </w:rPr>
        <w:t>Eight findings, in the order they were established.</w:t>
      </w:r>
    </w:p>
    <w:p>
      <w:pPr>
        <w:pStyle w:val="Heading3"/>
      </w:pPr>
      <w:r>
        <w:t>The fuel curve</w:t>
      </w:r>
    </w:p>
    <w:p>
      <w:pPr>
        <w:pStyle w:val="ListBullet"/>
        <w:spacing w:after="60"/>
      </w:pPr>
      <w:r>
        <w:rPr>
          <w:rFonts w:ascii="Arial" w:hAnsi="Arial"/>
          <w:b/>
          <w:sz w:val="20"/>
        </w:rPr>
        <w:t xml:space="preserve">Fuel rate is linear in engine RPM. </w:t>
      </w:r>
      <w:r>
        <w:rPr>
          <w:rFonts w:ascii="Arial" w:hAnsi="Arial"/>
          <w:sz w:val="20"/>
        </w:rPr>
        <w:t>L/h = −1.776 + 0.002495·RPM, R² = 0.972 over 1020–2500 rpm. Expressed against speed the same data is a cubic, L/h = 0.677 + 0.00787·V³, at R² = 0.971. The two are indistinguishable on residuals; RPM is preferred because it is also the only bridge back to the 2022 data, where no fuel rate was recorded.</w:t>
      </w:r>
    </w:p>
    <w:p>
      <w:pPr>
        <w:pStyle w:val="ListBullet"/>
        <w:spacing w:after="60"/>
      </w:pPr>
      <w:r>
        <w:rPr>
          <w:rFonts w:ascii="Arial" w:hAnsi="Arial"/>
          <w:b/>
          <w:sz w:val="20"/>
        </w:rPr>
        <w:t xml:space="preserve">Distance per litre peaks near 4 knots. </w:t>
      </w:r>
      <w:r>
        <w:rPr>
          <w:rFonts w:ascii="Arial" w:hAnsi="Arial"/>
          <w:sz w:val="20"/>
        </w:rPr>
        <w:t>Best measured efficiency is 3.17 NM/L at 4.28 kt — the 1250 rpm step. The model optimum is 3.50 kt at 3.45 NM/L, a short extrapolation below the slowest run.</w:t>
      </w:r>
    </w:p>
    <w:p>
      <w:pPr>
        <w:pStyle w:val="ListBullet"/>
        <w:spacing w:after="60"/>
      </w:pPr>
      <w:r>
        <w:rPr>
          <w:rFonts w:ascii="Arial" w:hAnsi="Arial"/>
          <w:b/>
          <w:sz w:val="20"/>
        </w:rPr>
        <w:t xml:space="preserve">The 8-knot survey speed costs </w:t>
      </w:r>
      <w:r>
        <w:rPr>
          <w:rFonts w:ascii="Arial" w:hAnsi="Arial"/>
          <w:sz w:val="20"/>
        </w:rPr>
        <w:t>1.9× the fuel per nautical mile against that best measured run on the EM712 curve, and sits above the fitted window — 8 kt requires about 2616 rpm against a 2500 rpm ceiling, so every EM712 figure at survey speed is an extrapolation and is marked as such.</w:t>
      </w:r>
    </w:p>
    <w:p>
      <w:pPr>
        <w:pStyle w:val="Heading3"/>
      </w:pPr>
      <w:r>
        <w:t>Change between configurations</w:t>
      </w:r>
    </w:p>
    <w:p>
      <w:pPr>
        <w:pStyle w:val="ListBullet"/>
        <w:spacing w:after="60"/>
      </w:pPr>
      <w:r>
        <w:rPr>
          <w:rFonts w:ascii="Arial" w:hAnsi="Arial"/>
          <w:b/>
          <w:sz w:val="20"/>
        </w:rPr>
        <w:t xml:space="preserve">The vehicle lost 17–19% of its speed at equal RPM between 2022 and 2024. </w:t>
      </w:r>
      <w:r>
        <w:rPr>
          <w:rFonts w:ascii="Arial" w:hAnsi="Arial"/>
          <w:sz w:val="20"/>
        </w:rPr>
        <w:t>Measured by three independent four-heading tests at two very different RPM settings, which agree with each other (18.6% mean loss). Because fuel is set by RPM, that is very nearly a one-for-one loss of distance per litre.</w:t>
      </w:r>
    </w:p>
    <w:p>
      <w:pPr>
        <w:pStyle w:val="ListBullet"/>
        <w:spacing w:after="60"/>
      </w:pPr>
      <w:r>
        <w:rPr>
          <w:rFonts w:ascii="Arial" w:hAnsi="Arial"/>
          <w:b/>
          <w:sz w:val="20"/>
        </w:rPr>
        <w:t xml:space="preserve">It is now drag-limited at the top end. </w:t>
      </w:r>
      <w:r>
        <w:rPr>
          <w:rFonts w:ascii="Arial" w:hAnsi="Arial"/>
          <w:sz w:val="20"/>
        </w:rPr>
        <w:t>The speed-vs-RPM slope fell to 65% of its 2022 value while the intercept rose from -0.04 to 1.13 kt. The curve has flattened: the vehicle reaches speed early and then stops gaining.</w:t>
      </w:r>
    </w:p>
    <w:p>
      <w:pPr>
        <w:pStyle w:val="Heading3"/>
      </w:pPr>
      <w:r>
        <w:t>Tank capacity and the gauge</w:t>
      </w:r>
    </w:p>
    <w:p>
      <w:pPr>
        <w:pStyle w:val="ListBullet"/>
        <w:spacing w:after="60"/>
      </w:pPr>
      <w:r>
        <w:rPr>
          <w:rFonts w:ascii="Arial" w:hAnsi="Arial"/>
          <w:b/>
          <w:sz w:val="20"/>
        </w:rPr>
        <w:t xml:space="preserve">The tank holds 250 L, and the gauge does not know it. </w:t>
      </w:r>
      <w:r>
        <w:rPr>
          <w:rFonts w:ascii="Arial" w:hAnsi="Arial"/>
          <w:sz w:val="20"/>
        </w:rPr>
        <w:t>The engineering drawings settle the physical volume at 250 L on every hull. But three independent methods put the GAUGE SPAN at 205–209 L — the DD2024 refuel 209 L (pumped litres), the 2022 telemetry 205 L, and the metered gauge scale 250 L. All three are SLOPES in litres per indicated point, so a partial fill or partial drawdown cannot bias them: that moves a window along the gauge, it does not change what a point is worth. About 44 L of the tank is therefore not represented in the indicated range — see §6.</w:t>
      </w:r>
    </w:p>
    <w:p>
      <w:pPr>
        <w:pStyle w:val="ListBullet"/>
        <w:spacing w:after="60"/>
      </w:pPr>
      <w:r>
        <w:rPr>
          <w:rFonts w:ascii="Arial" w:hAnsi="Arial"/>
          <w:b/>
          <w:sz w:val="20"/>
        </w:rPr>
        <w:t xml:space="preserve">The gauge SCALE is measured; its LINEARITY is not. </w:t>
      </w:r>
      <w:r>
        <w:rPr>
          <w:rFonts w:ascii="Arial" w:hAnsi="Arial"/>
          <w:sz w:val="20"/>
        </w:rPr>
        <w:t>2.06 ± 0.11 L per indicated point over the 72–86% band — 4σ below the 2.50 a linear 250 L tank implies, and agreeing with DD2024 to 0.3σ. Non-linearity is UNRESOLVED, not established: the per-day spread separates by only 1.5σ. An earlier edition of this report called that spread non-linearity; that was an over-read and is retracted in §6.3.</w:t>
      </w:r>
    </w:p>
    <w:p>
      <w:pPr>
        <w:pStyle w:val="ListBullet"/>
        <w:spacing w:after="60"/>
      </w:pPr>
      <w:r>
        <w:rPr>
          <w:rFonts w:ascii="Arial" w:hAnsi="Arial"/>
          <w:b/>
          <w:sz w:val="20"/>
        </w:rPr>
        <w:t xml:space="preserve">Fuel is under 1% of mission cost in the Exail 2040 planning model. </w:t>
      </w:r>
      <w:r>
        <w:rPr>
          <w:rFonts w:ascii="Arial" w:hAnsi="Arial"/>
          <w:sz w:val="20"/>
        </w:rPr>
        <w:t>These curves earn their keep in endurance and range prediction, not in economy.</w:t>
      </w:r>
    </w:p>
    <w:p>
      <w:pPr>
        <w:pStyle w:val="Heading3"/>
      </w:pPr>
      <w:r>
        <w:t>The configuration fitted today (MCAP refit, August 2026)</w:t>
      </w:r>
    </w:p>
    <w:p>
      <w:pPr>
        <w:pStyle w:val="ListBullet"/>
        <w:spacing w:after="60"/>
      </w:pPr>
      <w:r>
        <w:rPr>
          <w:rFonts w:ascii="Arial" w:hAnsi="Arial"/>
          <w:b/>
          <w:sz w:val="20"/>
        </w:rPr>
        <w:t xml:space="preserve">The EM2040 curve is measured, not inferred. </w:t>
      </w:r>
      <w:r>
        <w:rPr>
          <w:rFonts w:ascii="Arial" w:hAnsi="Arial"/>
          <w:sz w:val="20"/>
        </w:rPr>
        <w:t>Six days of MCAP logs (4.85 h of steady cruise) give L/h = 3.1135 − 0.002920·RPM + 1.3961×10⁻⁶·RPM² (R² 0.9933) and 2.41 NM/L at the 8 kt survey speed — 2158 rpm, inside the fitted window, so survey planning on this gondola is interpolation. Loiter burn is 1.05 L/h over 38.8 h observed.</w:t>
      </w:r>
    </w:p>
    <w:p>
      <w:pPr>
        <w:pStyle w:val="ListBullet"/>
        <w:spacing w:after="60"/>
      </w:pPr>
      <w:r>
        <w:rPr>
          <w:rFonts w:ascii="Arial" w:hAnsi="Arial"/>
          <w:b/>
          <w:sz w:val="20"/>
        </w:rPr>
        <w:t xml:space="preserve">Planning fuel is set by the gauge, not by the tank. </w:t>
      </w:r>
      <w:r>
        <w:rPr>
          <w:rFonts w:ascii="Arial" w:hAnsi="Arial"/>
          <w:sz w:val="20"/>
        </w:rPr>
        <w:t>The 25% floor is written in indicated percent, so a mission may spend 185.7 L before the needle reaches it — against 187.5 L on a linear 250 L tank. No capacity assumption enters that number. At survey speed it is 56.0 h and 448 NM, not 56.6 h and 453 NM.</w:t>
      </w:r>
    </w:p>
    <w:tbl>
      <w:tblPr>
        <w:tblW w:type="auto" w:w="0"/>
        <w:jc w:val="center"/>
        <w:tblLook w:firstColumn="1" w:firstRow="1" w:lastColumn="0" w:lastRow="0" w:noHBand="0" w:noVBand="1" w:val="04A0"/>
      </w:tblPr>
      <w:tblGrid>
        <w:gridCol w:w="9360"/>
      </w:tblGrid>
      <w:tr>
        <w:trPr>
          <w:cantSplit/>
        </w:trPr>
        <w:tc>
          <w:tcPr>
            <w:tcW w:type="dxa" w:w="9072"/>
            <w:shd w:val="clear" w:color="auto" w:fill="FDF3E0"/>
          </w:tcPr>
          <w:p>
            <w:pPr>
              <w:spacing w:after="40"/>
            </w:pPr>
            <w:r/>
            <w:r>
              <w:rPr>
                <w:rFonts w:ascii="Arial" w:hAnsi="Arial"/>
                <w:b/>
                <w:color w:val="9A6400"/>
                <w:sz w:val="19"/>
              </w:rPr>
              <w:t>The single most useful sentence in this report</w:t>
            </w:r>
          </w:p>
          <w:p>
            <w:pPr>
              <w:spacing w:after="40"/>
            </w:pPr>
            <w:r>
              <w:rPr>
                <w:rFonts w:ascii="Arial" w:hAnsi="Arial"/>
                <w:sz w:val="18"/>
              </w:rPr>
              <w:t>The floor is a needle position, so mission fuel is what the gauge holds between full and 25% — 186 L on the adopted reading, 154 L if the gauge speaks only for its own span. That 31 L is 9 hours and 75 NM of endurance riding on an inference the drawings support and no drawdown has yet tested.</w:t>
            </w:r>
          </w:p>
        </w:tc>
      </w:tr>
    </w:tbl>
    <w:p>
      <w:pPr>
        <w:spacing w:after="120"/>
      </w:pPr>
    </w:p>
    <w:p>
      <w:pPr>
        <w:pStyle w:val="Heading1"/>
      </w:pPr>
      <w:r>
        <w:t>2.  Scope, sources and method</w:t>
      </w:r>
    </w:p>
    <w:p>
      <w:pPr>
        <w:pStyle w:val="Heading2"/>
      </w:pPr>
      <w:r>
        <w:t>2.1  What this report is built from</w:t>
      </w:r>
    </w:p>
    <w:p>
      <w:pPr>
        <w:spacing w:after="120"/>
      </w:pPr>
      <w:r>
        <w:rPr>
          <w:rFonts w:ascii="Arial" w:hAnsi="Arial"/>
          <w:b w:val="0"/>
          <w:i w:val="0"/>
          <w:sz w:val="20"/>
        </w:rPr>
        <w:t>The 2022 and 2024 analysis rests on a text extraction of Microsoft 365 search results rather than on the original binaries — no cell from those sources was read from a source file directly. That limitation is inherited from the source workbook and is restated wherever it bears on a conclusion. The 2026 MCAP material is different in kind: it is read directly from the vehicle's own bag files by the pipeline in tools/, and this report recomputes from that pipeline on every build.</w:t>
      </w:r>
    </w:p>
    <w:tbl>
      <w:tblPr>
        <w:tblW w:type="auto" w:w="0"/>
        <w:jc w:val="center"/>
        <w:tblLayout w:type="fixed"/>
        <w:tblLook w:firstColumn="1" w:firstRow="1" w:lastColumn="0" w:lastRow="0" w:noHBand="0" w:noVBand="1" w:val="04A0"/>
      </w:tblPr>
      <w:tblGrid>
        <w:gridCol w:w="3120"/>
        <w:gridCol w:w="3120"/>
        <w:gridCol w:w="3120"/>
      </w:tblGrid>
      <w:tr>
        <w:tc>
          <w:tcPr>
            <w:tcW w:type="dxa" w:w="3312"/>
            <w:shd w:val="clear" w:color="auto" w:fill="1F3B60"/>
          </w:tcPr>
          <w:p>
            <w:pPr>
              <w:spacing w:after="40"/>
            </w:pPr>
            <w:r/>
            <w:r>
              <w:rPr>
                <w:rFonts w:ascii="Arial" w:hAnsi="Arial"/>
                <w:b/>
                <w:color w:val="FFFFFF"/>
                <w:sz w:val="17"/>
              </w:rPr>
              <w:t>Source</w:t>
            </w:r>
          </w:p>
        </w:tc>
        <w:tc>
          <w:tcPr>
            <w:tcW w:type="dxa" w:w="1440"/>
            <w:shd w:val="clear" w:color="auto" w:fill="1F3B60"/>
          </w:tcPr>
          <w:p>
            <w:pPr>
              <w:spacing w:after="40"/>
            </w:pPr>
            <w:r/>
            <w:r>
              <w:rPr>
                <w:rFonts w:ascii="Arial" w:hAnsi="Arial"/>
                <w:b/>
                <w:color w:val="FFFFFF"/>
                <w:sz w:val="17"/>
              </w:rPr>
              <w:t>Date</w:t>
            </w:r>
          </w:p>
        </w:tc>
        <w:tc>
          <w:tcPr>
            <w:tcW w:type="dxa" w:w="4320"/>
            <w:shd w:val="clear" w:color="auto" w:fill="1F3B60"/>
          </w:tcPr>
          <w:p>
            <w:pPr>
              <w:spacing w:after="40"/>
            </w:pPr>
            <w:r/>
            <w:r>
              <w:rPr>
                <w:rFonts w:ascii="Arial" w:hAnsi="Arial"/>
                <w:b/>
                <w:color w:val="FFFFFF"/>
                <w:sz w:val="17"/>
              </w:rPr>
              <w:t>What it contributes</w:t>
            </w:r>
          </w:p>
        </w:tc>
      </w:tr>
      <w:tr>
        <w:tc>
          <w:tcPr>
            <w:tcW w:type="dxa" w:w="3312"/>
          </w:tcPr>
          <w:p>
            <w:pPr>
              <w:spacing w:after="40"/>
            </w:pPr>
            <w:r/>
            <w:r>
              <w:rPr>
                <w:rFonts w:ascii="Arial" w:hAnsi="Arial"/>
                <w:sz w:val="17"/>
              </w:rPr>
              <w:t>Daily Log — 2024 Shakedown</w:t>
            </w:r>
          </w:p>
        </w:tc>
        <w:tc>
          <w:tcPr>
            <w:tcW w:type="dxa" w:w="1440"/>
          </w:tcPr>
          <w:p>
            <w:pPr>
              <w:spacing w:after="40"/>
            </w:pPr>
            <w:r/>
            <w:r>
              <w:rPr>
                <w:rFonts w:ascii="Arial" w:hAnsi="Arial"/>
                <w:sz w:val="17"/>
              </w:rPr>
              <w:t>28 Jun 2024</w:t>
            </w:r>
          </w:p>
        </w:tc>
        <w:tc>
          <w:tcPr>
            <w:tcW w:type="dxa" w:w="4320"/>
          </w:tcPr>
          <w:p>
            <w:pPr>
              <w:spacing w:after="40"/>
            </w:pPr>
            <w:r/>
            <w:r>
              <w:rPr>
                <w:rFonts w:ascii="Arial" w:hAnsi="Arial"/>
                <w:sz w:val="17"/>
              </w:rPr>
              <w:t>Fixed-RPM speed trials with flow-meter L/h and measured SOG; four-heading prop test</w:t>
            </w:r>
          </w:p>
        </w:tc>
      </w:tr>
      <w:tr>
        <w:tc>
          <w:tcPr>
            <w:tcW w:type="dxa" w:w="3312"/>
            <w:shd w:val="clear" w:color="auto" w:fill="F2F5F8"/>
          </w:tcPr>
          <w:p>
            <w:pPr>
              <w:spacing w:after="40"/>
            </w:pPr>
            <w:r/>
            <w:r>
              <w:rPr>
                <w:rFonts w:ascii="Arial" w:hAnsi="Arial"/>
                <w:sz w:val="17"/>
              </w:rPr>
              <w:t>DriX-8 MCAP logs (connectivity box)</w:t>
            </w:r>
          </w:p>
        </w:tc>
        <w:tc>
          <w:tcPr>
            <w:tcW w:type="dxa" w:w="1440"/>
            <w:shd w:val="clear" w:color="auto" w:fill="F2F5F8"/>
          </w:tcPr>
          <w:p>
            <w:pPr>
              <w:spacing w:after="40"/>
            </w:pPr>
            <w:r/>
            <w:r>
              <w:rPr>
                <w:rFonts w:ascii="Arial" w:hAnsi="Arial"/>
                <w:sz w:val="17"/>
              </w:rPr>
              <w:t>04–09 Aug 2026</w:t>
            </w:r>
          </w:p>
        </w:tc>
        <w:tc>
          <w:tcPr>
            <w:tcW w:type="dxa" w:w="4320"/>
            <w:shd w:val="clear" w:color="auto" w:fill="F2F5F8"/>
          </w:tcPr>
          <w:p>
            <w:pPr>
              <w:spacing w:after="40"/>
            </w:pPr>
            <w:r/>
            <w:r>
              <w:rPr>
                <w:rFonts w:ascii="Arial" w:hAnsi="Arial"/>
                <w:sz w:val="17"/>
              </w:rPr>
              <w:t>EM2040 refit: flow meter, thruster RPM, GPS, INS, trim; direct gauge calibration</w:t>
            </w:r>
          </w:p>
        </w:tc>
      </w:tr>
      <w:tr>
        <w:tc>
          <w:tcPr>
            <w:tcW w:type="dxa" w:w="3312"/>
          </w:tcPr>
          <w:p>
            <w:pPr>
              <w:spacing w:after="40"/>
            </w:pPr>
            <w:r/>
            <w:r>
              <w:rPr>
                <w:rFonts w:ascii="Arial" w:hAnsi="Arial"/>
                <w:sz w:val="17"/>
              </w:rPr>
              <w:t>2022 Shakedown Cruise Report</w:t>
            </w:r>
          </w:p>
        </w:tc>
        <w:tc>
          <w:tcPr>
            <w:tcW w:type="dxa" w:w="1440"/>
          </w:tcPr>
          <w:p>
            <w:pPr>
              <w:spacing w:after="40"/>
            </w:pPr>
            <w:r/>
            <w:r>
              <w:rPr>
                <w:rFonts w:ascii="Arial" w:hAnsi="Arial"/>
                <w:sz w:val="17"/>
              </w:rPr>
              <w:t>2022</w:t>
            </w:r>
          </w:p>
        </w:tc>
        <w:tc>
          <w:tcPr>
            <w:tcW w:type="dxa" w:w="4320"/>
          </w:tcPr>
          <w:p>
            <w:pPr>
              <w:spacing w:after="40"/>
            </w:pPr>
            <w:r/>
            <w:r>
              <w:rPr>
                <w:rFonts w:ascii="Arial" w:hAnsi="Arial"/>
                <w:sz w:val="17"/>
              </w:rPr>
              <w:t>Speed vs RPM for the EM2040 configuration, 7 points</w:t>
            </w:r>
          </w:p>
        </w:tc>
      </w:tr>
      <w:tr>
        <w:tc>
          <w:tcPr>
            <w:tcW w:type="dxa" w:w="3312"/>
            <w:shd w:val="clear" w:color="auto" w:fill="F2F5F8"/>
          </w:tcPr>
          <w:p>
            <w:pPr>
              <w:spacing w:after="40"/>
            </w:pPr>
            <w:r/>
            <w:r>
              <w:rPr>
                <w:rFonts w:ascii="Arial" w:hAnsi="Arial"/>
                <w:sz w:val="17"/>
              </w:rPr>
              <w:t>2022 operational log</w:t>
            </w:r>
          </w:p>
        </w:tc>
        <w:tc>
          <w:tcPr>
            <w:tcW w:type="dxa" w:w="1440"/>
            <w:shd w:val="clear" w:color="auto" w:fill="F2F5F8"/>
          </w:tcPr>
          <w:p>
            <w:pPr>
              <w:spacing w:after="40"/>
            </w:pPr>
            <w:r/>
            <w:r>
              <w:rPr>
                <w:rFonts w:ascii="Arial" w:hAnsi="Arial"/>
                <w:sz w:val="17"/>
              </w:rPr>
              <w:t>29–30 Jul 2022</w:t>
            </w:r>
          </w:p>
        </w:tc>
        <w:tc>
          <w:tcPr>
            <w:tcW w:type="dxa" w:w="4320"/>
            <w:shd w:val="clear" w:color="auto" w:fill="F2F5F8"/>
          </w:tcPr>
          <w:p>
            <w:pPr>
              <w:spacing w:after="40"/>
            </w:pPr>
            <w:r/>
            <w:r>
              <w:rPr>
                <w:rFonts w:ascii="Arial" w:hAnsi="Arial"/>
                <w:sz w:val="17"/>
              </w:rPr>
              <w:t>Tank telemetry with wind, heave and speed, 21 observations</w:t>
            </w:r>
          </w:p>
        </w:tc>
      </w:tr>
      <w:tr>
        <w:tc>
          <w:tcPr>
            <w:tcW w:type="dxa" w:w="3312"/>
          </w:tcPr>
          <w:p>
            <w:pPr>
              <w:spacing w:after="40"/>
            </w:pPr>
            <w:r/>
            <w:r>
              <w:rPr>
                <w:rFonts w:ascii="Arial" w:hAnsi="Arial"/>
                <w:sz w:val="17"/>
              </w:rPr>
              <w:t>DD2024</w:t>
            </w:r>
          </w:p>
        </w:tc>
        <w:tc>
          <w:tcPr>
            <w:tcW w:type="dxa" w:w="1440"/>
          </w:tcPr>
          <w:p>
            <w:pPr>
              <w:spacing w:after="40"/>
            </w:pPr>
            <w:r/>
            <w:r>
              <w:rPr>
                <w:rFonts w:ascii="Arial" w:hAnsi="Arial"/>
                <w:sz w:val="17"/>
              </w:rPr>
              <w:t>2024</w:t>
            </w:r>
          </w:p>
        </w:tc>
        <w:tc>
          <w:tcPr>
            <w:tcW w:type="dxa" w:w="4320"/>
          </w:tcPr>
          <w:p>
            <w:pPr>
              <w:spacing w:after="40"/>
            </w:pPr>
            <w:r/>
            <w:r>
              <w:rPr>
                <w:rFonts w:ascii="Arial" w:hAnsi="Arial"/>
                <w:sz w:val="17"/>
              </w:rPr>
              <w:t>Refuel event sizing the tank; flow-meter reliability notes</w:t>
            </w:r>
          </w:p>
        </w:tc>
      </w:tr>
      <w:tr>
        <w:tc>
          <w:tcPr>
            <w:tcW w:type="dxa" w:w="3312"/>
            <w:shd w:val="clear" w:color="auto" w:fill="F2F5F8"/>
          </w:tcPr>
          <w:p>
            <w:pPr>
              <w:spacing w:after="40"/>
            </w:pPr>
            <w:r/>
            <w:r>
              <w:rPr>
                <w:rFonts w:ascii="Arial" w:hAnsi="Arial"/>
                <w:sz w:val="17"/>
              </w:rPr>
              <w:t>Exail ROE large-survey model</w:t>
            </w:r>
          </w:p>
        </w:tc>
        <w:tc>
          <w:tcPr>
            <w:tcW w:type="dxa" w:w="1440"/>
            <w:shd w:val="clear" w:color="auto" w:fill="F2F5F8"/>
          </w:tcPr>
          <w:p>
            <w:pPr>
              <w:spacing w:after="40"/>
            </w:pPr>
            <w:r/>
            <w:r>
              <w:rPr>
                <w:rFonts w:ascii="Arial" w:hAnsi="Arial"/>
                <w:sz w:val="17"/>
              </w:rPr>
              <w:t>Jul 2024</w:t>
            </w:r>
          </w:p>
        </w:tc>
        <w:tc>
          <w:tcPr>
            <w:tcW w:type="dxa" w:w="4320"/>
            <w:shd w:val="clear" w:color="auto" w:fill="F2F5F8"/>
          </w:tcPr>
          <w:p>
            <w:pPr>
              <w:spacing w:after="40"/>
            </w:pPr>
            <w:r/>
            <w:r>
              <w:rPr>
                <w:rFonts w:ascii="Arial" w:hAnsi="Arial"/>
                <w:sz w:val="17"/>
              </w:rPr>
              <w:t>Cost, duration and efficiency ratios for the 2040 planning case</w:t>
            </w:r>
          </w:p>
        </w:tc>
      </w:tr>
      <w:tr>
        <w:tc>
          <w:tcPr>
            <w:tcW w:type="dxa" w:w="3312"/>
          </w:tcPr>
          <w:p>
            <w:pPr>
              <w:spacing w:after="40"/>
            </w:pPr>
            <w:r/>
            <w:r>
              <w:rPr>
                <w:rFonts w:ascii="Arial" w:hAnsi="Arial"/>
                <w:sz w:val="17"/>
              </w:rPr>
              <w:t>Fuel Consumption.html (Exail)</w:t>
            </w:r>
          </w:p>
        </w:tc>
        <w:tc>
          <w:tcPr>
            <w:tcW w:type="dxa" w:w="1440"/>
          </w:tcPr>
          <w:p>
            <w:pPr>
              <w:spacing w:after="40"/>
            </w:pPr>
            <w:r/>
            <w:r>
              <w:rPr>
                <w:rFonts w:ascii="Arial" w:hAnsi="Arial"/>
                <w:sz w:val="17"/>
              </w:rPr>
              <w:t>Feb 2025</w:t>
            </w:r>
          </w:p>
        </w:tc>
        <w:tc>
          <w:tcPr>
            <w:tcW w:type="dxa" w:w="4320"/>
          </w:tcPr>
          <w:p>
            <w:pPr>
              <w:spacing w:after="40"/>
            </w:pPr>
            <w:r/>
            <w:r>
              <w:rPr>
                <w:rFonts w:ascii="Arial" w:hAnsi="Arial"/>
                <w:sz w:val="17"/>
              </w:rPr>
              <w:t>Static vs dynamic endurance estimation as implemented in the HMI</w:t>
            </w:r>
          </w:p>
        </w:tc>
      </w:tr>
    </w:tbl>
    <w:p>
      <w:pPr>
        <w:spacing w:after="200"/>
      </w:pPr>
      <w:r>
        <w:rPr>
          <w:rFonts w:ascii="Arial" w:hAnsi="Arial"/>
          <w:b w:val="0"/>
          <w:i/>
          <w:color w:val="5B6B7A"/>
          <w:sz w:val="16"/>
        </w:rPr>
        <w:t>Table 1 — Source material.</w:t>
      </w:r>
    </w:p>
    <w:p>
      <w:pPr>
        <w:pStyle w:val="Heading2"/>
      </w:pPr>
      <w:r>
        <w:t>2.2  Measured against assumed</w:t>
      </w:r>
    </w:p>
    <w:p>
      <w:pPr>
        <w:spacing w:after="120"/>
      </w:pPr>
      <w:r>
        <w:rPr>
          <w:rFonts w:ascii="Arial" w:hAnsi="Arial"/>
          <w:b w:val="0"/>
          <w:i w:val="0"/>
          <w:sz w:val="20"/>
        </w:rPr>
        <w:t>The distinction is enforced throughout, including in the companion planning tool, where every block of the model file carries a "fitted" flag.</w:t>
      </w:r>
    </w:p>
    <w:tbl>
      <w:tblPr>
        <w:tblW w:type="auto" w:w="0"/>
        <w:jc w:val="center"/>
        <w:tblLayout w:type="fixed"/>
        <w:tblLook w:firstColumn="1" w:firstRow="1" w:lastColumn="0" w:lastRow="0" w:noHBand="0" w:noVBand="1" w:val="04A0"/>
      </w:tblPr>
      <w:tblGrid>
        <w:gridCol w:w="3120"/>
        <w:gridCol w:w="3120"/>
        <w:gridCol w:w="3120"/>
      </w:tblGrid>
      <w:tr>
        <w:tc>
          <w:tcPr>
            <w:tcW w:type="dxa" w:w="3456"/>
            <w:shd w:val="clear" w:color="auto" w:fill="1F3B60"/>
          </w:tcPr>
          <w:p>
            <w:pPr>
              <w:spacing w:after="40"/>
            </w:pPr>
            <w:r/>
            <w:r>
              <w:rPr>
                <w:rFonts w:ascii="Arial" w:hAnsi="Arial"/>
                <w:b/>
                <w:color w:val="FFFFFF"/>
                <w:sz w:val="17"/>
              </w:rPr>
              <w:t>Quantity</w:t>
            </w:r>
          </w:p>
        </w:tc>
        <w:tc>
          <w:tcPr>
            <w:tcW w:type="dxa" w:w="1584"/>
            <w:shd w:val="clear" w:color="auto" w:fill="1F3B60"/>
          </w:tcPr>
          <w:p>
            <w:pPr>
              <w:spacing w:after="40"/>
            </w:pPr>
            <w:r/>
            <w:r>
              <w:rPr>
                <w:rFonts w:ascii="Arial" w:hAnsi="Arial"/>
                <w:b/>
                <w:color w:val="FFFFFF"/>
                <w:sz w:val="17"/>
              </w:rPr>
              <w:t>Status</w:t>
            </w:r>
          </w:p>
        </w:tc>
        <w:tc>
          <w:tcPr>
            <w:tcW w:type="dxa" w:w="4032"/>
            <w:shd w:val="clear" w:color="auto" w:fill="1F3B60"/>
          </w:tcPr>
          <w:p>
            <w:pPr>
              <w:spacing w:after="40"/>
            </w:pPr>
            <w:r/>
            <w:r>
              <w:rPr>
                <w:rFonts w:ascii="Arial" w:hAnsi="Arial"/>
                <w:b/>
                <w:color w:val="FFFFFF"/>
                <w:sz w:val="17"/>
              </w:rPr>
              <w:t>Basis</w:t>
            </w:r>
          </w:p>
        </w:tc>
      </w:tr>
      <w:tr>
        <w:tc>
          <w:tcPr>
            <w:tcW w:type="dxa" w:w="3456"/>
          </w:tcPr>
          <w:p>
            <w:pPr>
              <w:spacing w:after="40"/>
            </w:pPr>
            <w:r/>
            <w:r>
              <w:rPr>
                <w:rFonts w:ascii="Arial" w:hAnsi="Arial"/>
                <w:sz w:val="17"/>
              </w:rPr>
              <w:t>EM712 fuel rate vs RPM (2024)</w:t>
            </w:r>
          </w:p>
        </w:tc>
        <w:tc>
          <w:tcPr>
            <w:tcW w:type="dxa" w:w="1584"/>
          </w:tcPr>
          <w:p>
            <w:pPr>
              <w:spacing w:after="40"/>
            </w:pPr>
            <w:r/>
            <w:r>
              <w:rPr>
                <w:rFonts w:ascii="Arial" w:hAnsi="Arial"/>
                <w:sz w:val="17"/>
              </w:rPr>
              <w:t>MEASURED</w:t>
            </w:r>
          </w:p>
        </w:tc>
        <w:tc>
          <w:tcPr>
            <w:tcW w:type="dxa" w:w="4032"/>
          </w:tcPr>
          <w:p>
            <w:pPr>
              <w:spacing w:after="40"/>
            </w:pPr>
            <w:r/>
            <w:r>
              <w:rPr>
                <w:rFonts w:ascii="Arial" w:hAnsi="Arial"/>
                <w:sz w:val="17"/>
              </w:rPr>
              <w:t>Regression, R² 0.972, n = 7</w:t>
            </w:r>
          </w:p>
        </w:tc>
      </w:tr>
      <w:tr>
        <w:tc>
          <w:tcPr>
            <w:tcW w:type="dxa" w:w="3456"/>
            <w:shd w:val="clear" w:color="auto" w:fill="F2F5F8"/>
          </w:tcPr>
          <w:p>
            <w:pPr>
              <w:spacing w:after="40"/>
            </w:pPr>
            <w:r/>
            <w:r>
              <w:rPr>
                <w:rFonts w:ascii="Arial" w:hAnsi="Arial"/>
                <w:sz w:val="17"/>
              </w:rPr>
              <w:t>EM712 fuel rate vs speed (cubic)</w:t>
            </w:r>
          </w:p>
        </w:tc>
        <w:tc>
          <w:tcPr>
            <w:tcW w:type="dxa" w:w="1584"/>
            <w:shd w:val="clear" w:color="auto" w:fill="F2F5F8"/>
          </w:tcPr>
          <w:p>
            <w:pPr>
              <w:spacing w:after="40"/>
            </w:pPr>
            <w:r/>
            <w:r>
              <w:rPr>
                <w:rFonts w:ascii="Arial" w:hAnsi="Arial"/>
                <w:sz w:val="17"/>
              </w:rPr>
              <w:t>MEASURED</w:t>
            </w:r>
          </w:p>
        </w:tc>
        <w:tc>
          <w:tcPr>
            <w:tcW w:type="dxa" w:w="4032"/>
            <w:shd w:val="clear" w:color="auto" w:fill="F2F5F8"/>
          </w:tcPr>
          <w:p>
            <w:pPr>
              <w:spacing w:after="40"/>
            </w:pPr>
            <w:r/>
            <w:r>
              <w:rPr>
                <w:rFonts w:ascii="Arial" w:hAnsi="Arial"/>
                <w:sz w:val="17"/>
              </w:rPr>
              <w:t>Regression, R² 0.971, n = 7</w:t>
            </w:r>
          </w:p>
        </w:tc>
      </w:tr>
      <w:tr>
        <w:tc>
          <w:tcPr>
            <w:tcW w:type="dxa" w:w="3456"/>
          </w:tcPr>
          <w:p>
            <w:pPr>
              <w:spacing w:after="40"/>
            </w:pPr>
            <w:r/>
            <w:r>
              <w:rPr>
                <w:rFonts w:ascii="Arial" w:hAnsi="Arial"/>
                <w:sz w:val="17"/>
              </w:rPr>
              <w:t>EM712 speed vs RPM (2024)</w:t>
            </w:r>
          </w:p>
        </w:tc>
        <w:tc>
          <w:tcPr>
            <w:tcW w:type="dxa" w:w="1584"/>
          </w:tcPr>
          <w:p>
            <w:pPr>
              <w:spacing w:after="40"/>
            </w:pPr>
            <w:r/>
            <w:r>
              <w:rPr>
                <w:rFonts w:ascii="Arial" w:hAnsi="Arial"/>
                <w:sz w:val="17"/>
              </w:rPr>
              <w:t>MEASURED</w:t>
            </w:r>
          </w:p>
        </w:tc>
        <w:tc>
          <w:tcPr>
            <w:tcW w:type="dxa" w:w="4032"/>
          </w:tcPr>
          <w:p>
            <w:pPr>
              <w:spacing w:after="40"/>
            </w:pPr>
            <w:r/>
            <w:r>
              <w:rPr>
                <w:rFonts w:ascii="Arial" w:hAnsi="Arial"/>
                <w:sz w:val="17"/>
              </w:rPr>
              <w:t>Regression, R² 0.939, n = 9</w:t>
            </w:r>
          </w:p>
        </w:tc>
      </w:tr>
      <w:tr>
        <w:tc>
          <w:tcPr>
            <w:tcW w:type="dxa" w:w="3456"/>
            <w:shd w:val="clear" w:color="auto" w:fill="F2F5F8"/>
          </w:tcPr>
          <w:p>
            <w:pPr>
              <w:spacing w:after="40"/>
            </w:pPr>
            <w:r/>
            <w:r>
              <w:rPr>
                <w:rFonts w:ascii="Arial" w:hAnsi="Arial"/>
                <w:sz w:val="17"/>
              </w:rPr>
              <w:t>EM2040 speed vs RPM (2022)</w:t>
            </w:r>
          </w:p>
        </w:tc>
        <w:tc>
          <w:tcPr>
            <w:tcW w:type="dxa" w:w="1584"/>
            <w:shd w:val="clear" w:color="auto" w:fill="F2F5F8"/>
          </w:tcPr>
          <w:p>
            <w:pPr>
              <w:spacing w:after="40"/>
            </w:pPr>
            <w:r/>
            <w:r>
              <w:rPr>
                <w:rFonts w:ascii="Arial" w:hAnsi="Arial"/>
                <w:sz w:val="17"/>
              </w:rPr>
              <w:t>MEASURED</w:t>
            </w:r>
          </w:p>
        </w:tc>
        <w:tc>
          <w:tcPr>
            <w:tcW w:type="dxa" w:w="4032"/>
            <w:shd w:val="clear" w:color="auto" w:fill="F2F5F8"/>
          </w:tcPr>
          <w:p>
            <w:pPr>
              <w:spacing w:after="40"/>
            </w:pPr>
            <w:r/>
            <w:r>
              <w:rPr>
                <w:rFonts w:ascii="Arial" w:hAnsi="Arial"/>
                <w:sz w:val="17"/>
              </w:rPr>
              <w:t>Regression, R² 0.991, n = 7</w:t>
            </w:r>
          </w:p>
        </w:tc>
      </w:tr>
      <w:tr>
        <w:tc>
          <w:tcPr>
            <w:tcW w:type="dxa" w:w="3456"/>
          </w:tcPr>
          <w:p>
            <w:pPr>
              <w:spacing w:after="40"/>
            </w:pPr>
            <w:r/>
            <w:r>
              <w:rPr>
                <w:rFonts w:ascii="Arial" w:hAnsi="Arial"/>
                <w:sz w:val="17"/>
              </w:rPr>
              <w:t>EM2040 fuel &amp; speed laws (2026)</w:t>
            </w:r>
          </w:p>
        </w:tc>
        <w:tc>
          <w:tcPr>
            <w:tcW w:type="dxa" w:w="1584"/>
          </w:tcPr>
          <w:p>
            <w:pPr>
              <w:spacing w:after="40"/>
            </w:pPr>
            <w:r/>
            <w:r>
              <w:rPr>
                <w:rFonts w:ascii="Arial" w:hAnsi="Arial"/>
                <w:sz w:val="17"/>
              </w:rPr>
              <w:t>MEASURED</w:t>
            </w:r>
          </w:p>
        </w:tc>
        <w:tc>
          <w:tcPr>
            <w:tcW w:type="dxa" w:w="4032"/>
          </w:tcPr>
          <w:p>
            <w:pPr>
              <w:spacing w:after="40"/>
            </w:pPr>
            <w:r/>
            <w:r>
              <w:rPr>
                <w:rFonts w:ascii="Arial" w:hAnsi="Arial"/>
                <w:sz w:val="17"/>
              </w:rPr>
              <w:t>MCAP refit, R² 0.9933 / 0.971 — §5.5</w:t>
            </w:r>
          </w:p>
        </w:tc>
      </w:tr>
      <w:tr>
        <w:tc>
          <w:tcPr>
            <w:tcW w:type="dxa" w:w="3456"/>
            <w:shd w:val="clear" w:color="auto" w:fill="F2F5F8"/>
          </w:tcPr>
          <w:p>
            <w:pPr>
              <w:spacing w:after="40"/>
            </w:pPr>
            <w:r/>
            <w:r>
              <w:rPr>
                <w:rFonts w:ascii="Arial" w:hAnsi="Arial"/>
                <w:sz w:val="17"/>
              </w:rPr>
              <w:t>Gauge scale (L per indicated point)</w:t>
            </w:r>
          </w:p>
        </w:tc>
        <w:tc>
          <w:tcPr>
            <w:tcW w:type="dxa" w:w="1584"/>
            <w:shd w:val="clear" w:color="auto" w:fill="F2F5F8"/>
          </w:tcPr>
          <w:p>
            <w:pPr>
              <w:spacing w:after="40"/>
            </w:pPr>
            <w:r/>
            <w:r>
              <w:rPr>
                <w:rFonts w:ascii="Arial" w:hAnsi="Arial"/>
                <w:sz w:val="17"/>
              </w:rPr>
              <w:t>MEASURED</w:t>
            </w:r>
          </w:p>
        </w:tc>
        <w:tc>
          <w:tcPr>
            <w:tcW w:type="dxa" w:w="4032"/>
            <w:shd w:val="clear" w:color="auto" w:fill="F2F5F8"/>
          </w:tcPr>
          <w:p>
            <w:pPr>
              <w:spacing w:after="40"/>
            </w:pPr>
            <w:r/>
            <w:r>
              <w:rPr>
                <w:rFonts w:ascii="Arial" w:hAnsi="Arial"/>
                <w:sz w:val="17"/>
              </w:rPr>
              <w:t>2.06 ± 0.11, flow meter vs gauge — §6.3</w:t>
            </w:r>
          </w:p>
        </w:tc>
      </w:tr>
      <w:tr>
        <w:tc>
          <w:tcPr>
            <w:tcW w:type="dxa" w:w="3456"/>
          </w:tcPr>
          <w:p>
            <w:pPr>
              <w:spacing w:after="40"/>
            </w:pPr>
            <w:r/>
            <w:r>
              <w:rPr>
                <w:rFonts w:ascii="Arial" w:hAnsi="Arial"/>
                <w:sz w:val="17"/>
              </w:rPr>
              <w:t>Gauge linearity</w:t>
            </w:r>
          </w:p>
        </w:tc>
        <w:tc>
          <w:tcPr>
            <w:tcW w:type="dxa" w:w="1584"/>
          </w:tcPr>
          <w:p>
            <w:pPr>
              <w:spacing w:after="40"/>
            </w:pPr>
            <w:r/>
            <w:r>
              <w:rPr>
                <w:rFonts w:ascii="Arial" w:hAnsi="Arial"/>
                <w:sz w:val="17"/>
              </w:rPr>
              <w:t>⚠ UNRESOLVED</w:t>
            </w:r>
          </w:p>
        </w:tc>
        <w:tc>
          <w:tcPr>
            <w:tcW w:type="dxa" w:w="4032"/>
          </w:tcPr>
          <w:p>
            <w:pPr>
              <w:spacing w:after="40"/>
            </w:pPr>
            <w:r/>
            <w:r>
              <w:rPr>
                <w:rFonts w:ascii="Arial" w:hAnsi="Arial"/>
                <w:sz w:val="17"/>
              </w:rPr>
              <w:t>Per-day spread is 1.5σ — not established</w:t>
            </w:r>
          </w:p>
        </w:tc>
      </w:tr>
      <w:tr>
        <w:tc>
          <w:tcPr>
            <w:tcW w:type="dxa" w:w="3456"/>
            <w:shd w:val="clear" w:color="auto" w:fill="F2F5F8"/>
          </w:tcPr>
          <w:p>
            <w:pPr>
              <w:spacing w:after="40"/>
            </w:pPr>
            <w:r/>
            <w:r>
              <w:rPr>
                <w:rFonts w:ascii="Arial" w:hAnsi="Arial"/>
                <w:sz w:val="17"/>
              </w:rPr>
              <w:t>Heading effect magnitude</w:t>
            </w:r>
          </w:p>
        </w:tc>
        <w:tc>
          <w:tcPr>
            <w:tcW w:type="dxa" w:w="1584"/>
            <w:shd w:val="clear" w:color="auto" w:fill="F2F5F8"/>
          </w:tcPr>
          <w:p>
            <w:pPr>
              <w:spacing w:after="40"/>
            </w:pPr>
            <w:r/>
            <w:r>
              <w:rPr>
                <w:rFonts w:ascii="Arial" w:hAnsi="Arial"/>
                <w:sz w:val="17"/>
              </w:rPr>
              <w:t>MEASURED</w:t>
            </w:r>
          </w:p>
        </w:tc>
        <w:tc>
          <w:tcPr>
            <w:tcW w:type="dxa" w:w="4032"/>
            <w:shd w:val="clear" w:color="auto" w:fill="F2F5F8"/>
          </w:tcPr>
          <w:p>
            <w:pPr>
              <w:spacing w:after="40"/>
            </w:pPr>
            <w:r/>
            <w:r>
              <w:rPr>
                <w:rFonts w:ascii="Arial" w:hAnsi="Arial"/>
                <w:sz w:val="17"/>
              </w:rPr>
              <w:t>±6.91% speed spread, three four-heading tests</w:t>
            </w:r>
          </w:p>
        </w:tc>
      </w:tr>
      <w:tr>
        <w:tc>
          <w:tcPr>
            <w:tcW w:type="dxa" w:w="3456"/>
          </w:tcPr>
          <w:p>
            <w:pPr>
              <w:spacing w:after="40"/>
            </w:pPr>
            <w:r/>
            <w:r>
              <w:rPr>
                <w:rFonts w:ascii="Arial" w:hAnsi="Arial"/>
                <w:sz w:val="17"/>
              </w:rPr>
              <w:t>Heading effect shape (cosine)</w:t>
            </w:r>
          </w:p>
        </w:tc>
        <w:tc>
          <w:tcPr>
            <w:tcW w:type="dxa" w:w="1584"/>
          </w:tcPr>
          <w:p>
            <w:pPr>
              <w:spacing w:after="40"/>
            </w:pPr>
            <w:r/>
            <w:r>
              <w:rPr>
                <w:rFonts w:ascii="Arial" w:hAnsi="Arial"/>
                <w:sz w:val="17"/>
              </w:rPr>
              <w:t>⚠ ASSUMED</w:t>
            </w:r>
          </w:p>
        </w:tc>
        <w:tc>
          <w:tcPr>
            <w:tcW w:type="dxa" w:w="4032"/>
          </w:tcPr>
          <w:p>
            <w:pPr>
              <w:spacing w:after="40"/>
            </w:pPr>
            <w:r/>
            <w:r>
              <w:rPr>
                <w:rFonts w:ascii="Arial" w:hAnsi="Arial"/>
                <w:sz w:val="17"/>
              </w:rPr>
              <w:t>Physically motivated; not fitted</w:t>
            </w:r>
          </w:p>
        </w:tc>
      </w:tr>
      <w:tr>
        <w:tc>
          <w:tcPr>
            <w:tcW w:type="dxa" w:w="3456"/>
            <w:shd w:val="clear" w:color="auto" w:fill="F2F5F8"/>
          </w:tcPr>
          <w:p>
            <w:pPr>
              <w:spacing w:after="40"/>
            </w:pPr>
            <w:r/>
            <w:r>
              <w:rPr>
                <w:rFonts w:ascii="Arial" w:hAnsi="Arial"/>
                <w:sz w:val="17"/>
              </w:rPr>
              <w:t>Wind-speed scaling of that effect</w:t>
            </w:r>
          </w:p>
        </w:tc>
        <w:tc>
          <w:tcPr>
            <w:tcW w:type="dxa" w:w="1584"/>
            <w:shd w:val="clear" w:color="auto" w:fill="F2F5F8"/>
          </w:tcPr>
          <w:p>
            <w:pPr>
              <w:spacing w:after="40"/>
            </w:pPr>
            <w:r/>
            <w:r>
              <w:rPr>
                <w:rFonts w:ascii="Arial" w:hAnsi="Arial"/>
                <w:sz w:val="17"/>
              </w:rPr>
              <w:t>⚠ ASSUMED</w:t>
            </w:r>
          </w:p>
        </w:tc>
        <w:tc>
          <w:tcPr>
            <w:tcW w:type="dxa" w:w="4032"/>
            <w:shd w:val="clear" w:color="auto" w:fill="F2F5F8"/>
          </w:tcPr>
          <w:p>
            <w:pPr>
              <w:spacing w:after="40"/>
            </w:pPr>
            <w:r/>
            <w:r>
              <w:rPr>
                <w:rFonts w:ascii="Arial" w:hAnsi="Arial"/>
                <w:sz w:val="17"/>
              </w:rPr>
              <w:t>Power law, exponent 2, about a 12 kt reference</w:t>
            </w:r>
          </w:p>
        </w:tc>
      </w:tr>
      <w:tr>
        <w:tc>
          <w:tcPr>
            <w:tcW w:type="dxa" w:w="3456"/>
          </w:tcPr>
          <w:p>
            <w:pPr>
              <w:spacing w:after="40"/>
            </w:pPr>
            <w:r/>
            <w:r>
              <w:rPr>
                <w:rFonts w:ascii="Arial" w:hAnsi="Arial"/>
                <w:sz w:val="17"/>
              </w:rPr>
              <w:t>Sea state → RPM premium</w:t>
            </w:r>
          </w:p>
        </w:tc>
        <w:tc>
          <w:tcPr>
            <w:tcW w:type="dxa" w:w="1584"/>
          </w:tcPr>
          <w:p>
            <w:pPr>
              <w:spacing w:after="40"/>
            </w:pPr>
            <w:r/>
            <w:r>
              <w:rPr>
                <w:rFonts w:ascii="Arial" w:hAnsi="Arial"/>
                <w:sz w:val="17"/>
              </w:rPr>
              <w:t>⚠ ASSUMED</w:t>
            </w:r>
          </w:p>
        </w:tc>
        <w:tc>
          <w:tcPr>
            <w:tcW w:type="dxa" w:w="4032"/>
          </w:tcPr>
          <w:p>
            <w:pPr>
              <w:spacing w:after="40"/>
            </w:pPr>
            <w:r/>
            <w:r>
              <w:rPr>
                <w:rFonts w:ascii="Arial" w:hAnsi="Arial"/>
                <w:sz w:val="17"/>
              </w:rPr>
              <w:t>Calm anchor measured; slope into rough water is not — §7</w:t>
            </w:r>
          </w:p>
        </w:tc>
      </w:tr>
      <w:tr>
        <w:tc>
          <w:tcPr>
            <w:tcW w:type="dxa" w:w="3456"/>
            <w:shd w:val="clear" w:color="auto" w:fill="F2F5F8"/>
          </w:tcPr>
          <w:p>
            <w:pPr>
              <w:spacing w:after="40"/>
            </w:pPr>
            <w:r/>
            <w:r>
              <w:rPr>
                <w:rFonts w:ascii="Arial" w:hAnsi="Arial"/>
                <w:sz w:val="17"/>
              </w:rPr>
              <w:t>Physical tank volume</w:t>
            </w:r>
          </w:p>
        </w:tc>
        <w:tc>
          <w:tcPr>
            <w:tcW w:type="dxa" w:w="1584"/>
            <w:shd w:val="clear" w:color="auto" w:fill="F2F5F8"/>
          </w:tcPr>
          <w:p>
            <w:pPr>
              <w:spacing w:after="40"/>
            </w:pPr>
            <w:r/>
            <w:r>
              <w:rPr>
                <w:rFonts w:ascii="Arial" w:hAnsi="Arial"/>
                <w:sz w:val="17"/>
              </w:rPr>
              <w:t>ESTABLISHED</w:t>
            </w:r>
          </w:p>
        </w:tc>
        <w:tc>
          <w:tcPr>
            <w:tcW w:type="dxa" w:w="4032"/>
            <w:shd w:val="clear" w:color="auto" w:fill="F2F5F8"/>
          </w:tcPr>
          <w:p>
            <w:pPr>
              <w:spacing w:after="40"/>
            </w:pPr>
            <w:r/>
            <w:r>
              <w:rPr>
                <w:rFonts w:ascii="Arial" w:hAnsi="Arial"/>
                <w:sz w:val="17"/>
              </w:rPr>
              <w:t>250 L, engineering drawings, all hulls — §6</w:t>
            </w:r>
          </w:p>
        </w:tc>
      </w:tr>
      <w:tr>
        <w:tc>
          <w:tcPr>
            <w:tcW w:type="dxa" w:w="3456"/>
          </w:tcPr>
          <w:p>
            <w:pPr>
              <w:spacing w:after="40"/>
            </w:pPr>
            <w:r/>
            <w:r>
              <w:rPr>
                <w:rFonts w:ascii="Arial" w:hAnsi="Arial"/>
                <w:sz w:val="17"/>
              </w:rPr>
              <w:t>Gauge span in litres</w:t>
            </w:r>
          </w:p>
        </w:tc>
        <w:tc>
          <w:tcPr>
            <w:tcW w:type="dxa" w:w="1584"/>
          </w:tcPr>
          <w:p>
            <w:pPr>
              <w:spacing w:after="40"/>
            </w:pPr>
            <w:r/>
            <w:r>
              <w:rPr>
                <w:rFonts w:ascii="Arial" w:hAnsi="Arial"/>
                <w:sz w:val="17"/>
              </w:rPr>
              <w:t>MEASURED</w:t>
            </w:r>
          </w:p>
        </w:tc>
        <w:tc>
          <w:tcPr>
            <w:tcW w:type="dxa" w:w="4032"/>
          </w:tcPr>
          <w:p>
            <w:pPr>
              <w:spacing w:after="40"/>
            </w:pPr>
            <w:r/>
            <w:r>
              <w:rPr>
                <w:rFonts w:ascii="Arial" w:hAnsi="Arial"/>
                <w:sz w:val="17"/>
              </w:rPr>
              <w:t>205–209 L from three slope measurements — §6.3</w:t>
            </w:r>
          </w:p>
        </w:tc>
      </w:tr>
      <w:tr>
        <w:tc>
          <w:tcPr>
            <w:tcW w:type="dxa" w:w="3456"/>
            <w:shd w:val="clear" w:color="auto" w:fill="F2F5F8"/>
          </w:tcPr>
          <w:p>
            <w:pPr>
              <w:spacing w:after="40"/>
            </w:pPr>
            <w:r/>
            <w:r>
              <w:rPr>
                <w:rFonts w:ascii="Arial" w:hAnsi="Arial"/>
                <w:sz w:val="17"/>
              </w:rPr>
              <w:t>Where the other ~0 L sits</w:t>
            </w:r>
          </w:p>
        </w:tc>
        <w:tc>
          <w:tcPr>
            <w:tcW w:type="dxa" w:w="1584"/>
            <w:shd w:val="clear" w:color="auto" w:fill="F2F5F8"/>
          </w:tcPr>
          <w:p>
            <w:pPr>
              <w:spacing w:after="40"/>
            </w:pPr>
            <w:r/>
            <w:r>
              <w:rPr>
                <w:rFonts w:ascii="Arial" w:hAnsi="Arial"/>
                <w:sz w:val="17"/>
              </w:rPr>
              <w:t>⚠ UNRESOLVED</w:t>
            </w:r>
          </w:p>
        </w:tc>
        <w:tc>
          <w:tcPr>
            <w:tcW w:type="dxa" w:w="4032"/>
            <w:shd w:val="clear" w:color="auto" w:fill="F2F5F8"/>
          </w:tcPr>
          <w:p>
            <w:pPr>
              <w:spacing w:after="40"/>
            </w:pPr>
            <w:r/>
            <w:r>
              <w:rPr>
                <w:rFonts w:ascii="Arial" w:hAnsi="Arial"/>
                <w:sz w:val="17"/>
              </w:rPr>
              <w:t>Non-linearity, or outside the sender travel — §6.5</w:t>
            </w:r>
          </w:p>
        </w:tc>
      </w:tr>
      <w:tr>
        <w:tc>
          <w:tcPr>
            <w:tcW w:type="dxa" w:w="3456"/>
          </w:tcPr>
          <w:p>
            <w:pPr>
              <w:spacing w:after="40"/>
            </w:pPr>
            <w:r/>
            <w:r>
              <w:rPr>
                <w:rFonts w:ascii="Arial" w:hAnsi="Arial"/>
                <w:sz w:val="17"/>
              </w:rPr>
              <w:t>Reserve fraction</w:t>
            </w:r>
          </w:p>
        </w:tc>
        <w:tc>
          <w:tcPr>
            <w:tcW w:type="dxa" w:w="1584"/>
          </w:tcPr>
          <w:p>
            <w:pPr>
              <w:spacing w:after="40"/>
            </w:pPr>
            <w:r/>
            <w:r>
              <w:rPr>
                <w:rFonts w:ascii="Arial" w:hAnsi="Arial"/>
                <w:sz w:val="17"/>
              </w:rPr>
              <w:t>POLICY</w:t>
            </w:r>
          </w:p>
        </w:tc>
        <w:tc>
          <w:tcPr>
            <w:tcW w:type="dxa" w:w="4032"/>
          </w:tcPr>
          <w:p>
            <w:pPr>
              <w:spacing w:after="40"/>
            </w:pPr>
            <w:r/>
            <w:r>
              <w:rPr>
                <w:rFonts w:ascii="Arial" w:hAnsi="Arial"/>
                <w:sz w:val="17"/>
              </w:rPr>
              <w:t>25% indicated on return</w:t>
            </w:r>
          </w:p>
        </w:tc>
      </w:tr>
    </w:tbl>
    <w:p>
      <w:pPr>
        <w:spacing w:after="200"/>
      </w:pPr>
      <w:r>
        <w:rPr>
          <w:rFonts w:ascii="Arial" w:hAnsi="Arial"/>
          <w:b w:val="0"/>
          <w:i/>
          <w:color w:val="5B6B7A"/>
          <w:sz w:val="16"/>
        </w:rPr>
        <w:t>Table 2 — Provenance of every quantity used. The assumed rows are where disagreement with this report should be directed.</w:t>
      </w:r>
    </w:p>
    <w:p>
      <w:pPr>
        <w:pStyle w:val="Heading2"/>
      </w:pPr>
      <w:r>
        <w:t>2.3  Method</w:t>
      </w:r>
    </w:p>
    <w:p>
      <w:pPr>
        <w:spacing w:after="120"/>
      </w:pPr>
      <w:r>
        <w:rPr>
          <w:rFonts w:ascii="Arial" w:hAnsi="Arial"/>
          <w:b w:val="0"/>
          <w:i w:val="0"/>
          <w:sz w:val="20"/>
        </w:rPr>
        <w:t>Each candidate model form was fitted by least squares over a declared window, then compared on residual behaviour rather than on R² alone — with nine points and two of them suspect, R² is easy to inflate. Every derived figure in this report is recomputed by tools/build_report.py at build time from model.json and the MCAP fit output, and the planning figures are produced by calling the planning engine itself rather than by repeating its arithmetic.</w:t>
      </w:r>
    </w:p>
    <w:p>
      <w:pPr>
        <w:pStyle w:val="Heading1"/>
      </w:pPr>
      <w:r>
        <w:t>3.  The fuel model</w:t>
      </w:r>
    </w:p>
    <w:p>
      <w:pPr>
        <w:pStyle w:val="Heading2"/>
      </w:pPr>
      <w:r>
        <w:t>3.1  The 2024 speed trials</w:t>
      </w:r>
    </w:p>
    <w:p>
      <w:pPr>
        <w:spacing w:after="120"/>
      </w:pPr>
      <w:r>
        <w:rPr>
          <w:rFonts w:ascii="Arial" w:hAnsi="Arial"/>
          <w:b w:val="0"/>
          <w:i w:val="0"/>
          <w:sz w:val="20"/>
        </w:rPr>
        <w:t>On 28 June 2024 the vehicle was run at nine fixed engine speeds from 1020 to 3000 rpm, with fuel flow logged by the installed flow meter and speed over ground recorded simultaneously. This is the only dataset in the 2024 source material that pairs a fuel rate with a speed.</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008"/>
            <w:shd w:val="clear" w:color="auto" w:fill="1F3B60"/>
          </w:tcPr>
          <w:p>
            <w:pPr>
              <w:spacing w:after="40"/>
            </w:pPr>
            <w:r/>
            <w:r>
              <w:rPr>
                <w:rFonts w:ascii="Arial" w:hAnsi="Arial"/>
                <w:b/>
                <w:color w:val="FFFFFF"/>
                <w:sz w:val="17"/>
              </w:rPr>
              <w:t>RPM</w:t>
            </w:r>
          </w:p>
        </w:tc>
        <w:tc>
          <w:tcPr>
            <w:tcW w:type="dxa" w:w="1368"/>
            <w:shd w:val="clear" w:color="auto" w:fill="1F3B60"/>
          </w:tcPr>
          <w:p>
            <w:pPr>
              <w:spacing w:after="40"/>
              <w:jc w:val="right"/>
            </w:pPr>
            <w:r/>
            <w:r>
              <w:rPr>
                <w:rFonts w:ascii="Arial" w:hAnsi="Arial"/>
                <w:b/>
                <w:color w:val="FFFFFF"/>
                <w:sz w:val="17"/>
              </w:rPr>
              <w:t>SOG (m/s)</w:t>
            </w:r>
          </w:p>
        </w:tc>
        <w:tc>
          <w:tcPr>
            <w:tcW w:type="dxa" w:w="1368"/>
            <w:shd w:val="clear" w:color="auto" w:fill="1F3B60"/>
          </w:tcPr>
          <w:p>
            <w:pPr>
              <w:spacing w:after="40"/>
              <w:jc w:val="right"/>
            </w:pPr>
            <w:r/>
            <w:r>
              <w:rPr>
                <w:rFonts w:ascii="Arial" w:hAnsi="Arial"/>
                <w:b/>
                <w:color w:val="FFFFFF"/>
                <w:sz w:val="17"/>
              </w:rPr>
              <w:t>SOG (kt)</w:t>
            </w:r>
          </w:p>
        </w:tc>
        <w:tc>
          <w:tcPr>
            <w:tcW w:type="dxa" w:w="1368"/>
            <w:shd w:val="clear" w:color="auto" w:fill="1F3B60"/>
          </w:tcPr>
          <w:p>
            <w:pPr>
              <w:spacing w:after="40"/>
              <w:jc w:val="right"/>
            </w:pPr>
            <w:r/>
            <w:r>
              <w:rPr>
                <w:rFonts w:ascii="Arial" w:hAnsi="Arial"/>
                <w:b/>
                <w:color w:val="FFFFFF"/>
                <w:sz w:val="17"/>
              </w:rPr>
              <w:t>Flow (L/h)</w:t>
            </w:r>
          </w:p>
        </w:tc>
        <w:tc>
          <w:tcPr>
            <w:tcW w:type="dxa" w:w="1152"/>
            <w:shd w:val="clear" w:color="auto" w:fill="1F3B60"/>
          </w:tcPr>
          <w:p>
            <w:pPr>
              <w:spacing w:after="40"/>
              <w:jc w:val="right"/>
            </w:pPr>
            <w:r/>
            <w:r>
              <w:rPr>
                <w:rFonts w:ascii="Arial" w:hAnsi="Arial"/>
                <w:b/>
                <w:color w:val="FFFFFF"/>
                <w:sz w:val="17"/>
              </w:rPr>
              <w:t>NM/L</w:t>
            </w:r>
          </w:p>
        </w:tc>
        <w:tc>
          <w:tcPr>
            <w:tcW w:type="dxa" w:w="1152"/>
            <w:shd w:val="clear" w:color="auto" w:fill="1F3B60"/>
          </w:tcPr>
          <w:p>
            <w:pPr>
              <w:spacing w:after="40"/>
              <w:jc w:val="right"/>
            </w:pPr>
            <w:r/>
            <w:r>
              <w:rPr>
                <w:rFonts w:ascii="Arial" w:hAnsi="Arial"/>
                <w:b/>
                <w:color w:val="FFFFFF"/>
                <w:sz w:val="17"/>
              </w:rPr>
              <w:t>L/NM</w:t>
            </w:r>
          </w:p>
        </w:tc>
        <w:tc>
          <w:tcPr>
            <w:tcW w:type="dxa" w:w="1080"/>
            <w:shd w:val="clear" w:color="auto" w:fill="1F3B60"/>
          </w:tcPr>
          <w:p>
            <w:pPr>
              <w:spacing w:after="40"/>
              <w:jc w:val="right"/>
            </w:pPr>
            <w:r/>
            <w:r>
              <w:rPr>
                <w:rFonts w:ascii="Arial" w:hAnsi="Arial"/>
                <w:b/>
                <w:color w:val="FFFFFF"/>
                <w:sz w:val="17"/>
              </w:rPr>
              <w:t>In fit</w:t>
            </w:r>
          </w:p>
        </w:tc>
      </w:tr>
      <w:tr>
        <w:tc>
          <w:tcPr>
            <w:tcW w:type="dxa" w:w="1008"/>
          </w:tcPr>
          <w:p>
            <w:pPr>
              <w:spacing w:after="40"/>
            </w:pPr>
            <w:r/>
            <w:r>
              <w:rPr>
                <w:rFonts w:ascii="Arial" w:hAnsi="Arial"/>
                <w:sz w:val="17"/>
              </w:rPr>
              <w:t>1020</w:t>
            </w:r>
          </w:p>
        </w:tc>
        <w:tc>
          <w:tcPr>
            <w:tcW w:type="dxa" w:w="1368"/>
          </w:tcPr>
          <w:p>
            <w:pPr>
              <w:spacing w:after="40"/>
              <w:jc w:val="right"/>
            </w:pPr>
            <w:r/>
            <w:r>
              <w:rPr>
                <w:rFonts w:ascii="Arial" w:hAnsi="Arial"/>
                <w:sz w:val="17"/>
              </w:rPr>
              <w:t>1.60</w:t>
            </w:r>
          </w:p>
        </w:tc>
        <w:tc>
          <w:tcPr>
            <w:tcW w:type="dxa" w:w="1368"/>
          </w:tcPr>
          <w:p>
            <w:pPr>
              <w:spacing w:after="40"/>
              <w:jc w:val="right"/>
            </w:pPr>
            <w:r/>
            <w:r>
              <w:rPr>
                <w:rFonts w:ascii="Arial" w:hAnsi="Arial"/>
                <w:sz w:val="17"/>
              </w:rPr>
              <w:t>3.110</w:t>
            </w:r>
          </w:p>
        </w:tc>
        <w:tc>
          <w:tcPr>
            <w:tcW w:type="dxa" w:w="1368"/>
          </w:tcPr>
          <w:p>
            <w:pPr>
              <w:spacing w:after="40"/>
              <w:jc w:val="right"/>
            </w:pPr>
            <w:r/>
            <w:r>
              <w:rPr>
                <w:rFonts w:ascii="Arial" w:hAnsi="Arial"/>
                <w:sz w:val="17"/>
              </w:rPr>
              <w:t>1.08</w:t>
            </w:r>
          </w:p>
        </w:tc>
        <w:tc>
          <w:tcPr>
            <w:tcW w:type="dxa" w:w="1152"/>
          </w:tcPr>
          <w:p>
            <w:pPr>
              <w:spacing w:after="40"/>
              <w:jc w:val="right"/>
            </w:pPr>
            <w:r/>
            <w:r>
              <w:rPr>
                <w:rFonts w:ascii="Arial" w:hAnsi="Arial"/>
                <w:sz w:val="17"/>
              </w:rPr>
              <w:t>2.880</w:t>
            </w:r>
          </w:p>
        </w:tc>
        <w:tc>
          <w:tcPr>
            <w:tcW w:type="dxa" w:w="1152"/>
          </w:tcPr>
          <w:p>
            <w:pPr>
              <w:spacing w:after="40"/>
              <w:jc w:val="right"/>
            </w:pPr>
            <w:r/>
            <w:r>
              <w:rPr>
                <w:rFonts w:ascii="Arial" w:hAnsi="Arial"/>
                <w:sz w:val="17"/>
              </w:rPr>
              <w:t>0.347</w:t>
            </w:r>
          </w:p>
        </w:tc>
        <w:tc>
          <w:tcPr>
            <w:tcW w:type="dxa" w:w="1080"/>
          </w:tcPr>
          <w:p>
            <w:pPr>
              <w:spacing w:after="40"/>
              <w:jc w:val="right"/>
            </w:pPr>
            <w:r/>
            <w:r>
              <w:rPr>
                <w:rFonts w:ascii="Arial" w:hAnsi="Arial"/>
                <w:sz w:val="17"/>
              </w:rPr>
              <w:t>yes</w:t>
            </w:r>
          </w:p>
        </w:tc>
      </w:tr>
      <w:tr>
        <w:tc>
          <w:tcPr>
            <w:tcW w:type="dxa" w:w="1008"/>
            <w:shd w:val="clear" w:color="auto" w:fill="F2F5F8"/>
          </w:tcPr>
          <w:p>
            <w:pPr>
              <w:spacing w:after="40"/>
            </w:pPr>
            <w:r/>
            <w:r>
              <w:rPr>
                <w:rFonts w:ascii="Arial" w:hAnsi="Arial"/>
                <w:sz w:val="17"/>
              </w:rPr>
              <w:t>1250</w:t>
            </w:r>
          </w:p>
        </w:tc>
        <w:tc>
          <w:tcPr>
            <w:tcW w:type="dxa" w:w="1368"/>
            <w:shd w:val="clear" w:color="auto" w:fill="F2F5F8"/>
          </w:tcPr>
          <w:p>
            <w:pPr>
              <w:spacing w:after="40"/>
              <w:jc w:val="right"/>
            </w:pPr>
            <w:r/>
            <w:r>
              <w:rPr>
                <w:rFonts w:ascii="Arial" w:hAnsi="Arial"/>
                <w:sz w:val="17"/>
              </w:rPr>
              <w:t>2.20</w:t>
            </w:r>
          </w:p>
        </w:tc>
        <w:tc>
          <w:tcPr>
            <w:tcW w:type="dxa" w:w="1368"/>
            <w:shd w:val="clear" w:color="auto" w:fill="F2F5F8"/>
          </w:tcPr>
          <w:p>
            <w:pPr>
              <w:spacing w:after="40"/>
              <w:jc w:val="right"/>
            </w:pPr>
            <w:r/>
            <w:r>
              <w:rPr>
                <w:rFonts w:ascii="Arial" w:hAnsi="Arial"/>
                <w:sz w:val="17"/>
              </w:rPr>
              <w:t>4.276</w:t>
            </w:r>
          </w:p>
        </w:tc>
        <w:tc>
          <w:tcPr>
            <w:tcW w:type="dxa" w:w="1368"/>
            <w:shd w:val="clear" w:color="auto" w:fill="F2F5F8"/>
          </w:tcPr>
          <w:p>
            <w:pPr>
              <w:spacing w:after="40"/>
              <w:jc w:val="right"/>
            </w:pPr>
            <w:r/>
            <w:r>
              <w:rPr>
                <w:rFonts w:ascii="Arial" w:hAnsi="Arial"/>
                <w:sz w:val="17"/>
              </w:rPr>
              <w:t>1.35</w:t>
            </w:r>
          </w:p>
        </w:tc>
        <w:tc>
          <w:tcPr>
            <w:tcW w:type="dxa" w:w="1152"/>
            <w:shd w:val="clear" w:color="auto" w:fill="F2F5F8"/>
          </w:tcPr>
          <w:p>
            <w:pPr>
              <w:spacing w:after="40"/>
              <w:jc w:val="right"/>
            </w:pPr>
            <w:r/>
            <w:r>
              <w:rPr>
                <w:rFonts w:ascii="Arial" w:hAnsi="Arial"/>
                <w:sz w:val="17"/>
              </w:rPr>
              <w:t>3.168</w:t>
            </w:r>
          </w:p>
        </w:tc>
        <w:tc>
          <w:tcPr>
            <w:tcW w:type="dxa" w:w="1152"/>
            <w:shd w:val="clear" w:color="auto" w:fill="F2F5F8"/>
          </w:tcPr>
          <w:p>
            <w:pPr>
              <w:spacing w:after="40"/>
              <w:jc w:val="right"/>
            </w:pPr>
            <w:r/>
            <w:r>
              <w:rPr>
                <w:rFonts w:ascii="Arial" w:hAnsi="Arial"/>
                <w:sz w:val="17"/>
              </w:rPr>
              <w:t>0.316</w:t>
            </w:r>
          </w:p>
        </w:tc>
        <w:tc>
          <w:tcPr>
            <w:tcW w:type="dxa" w:w="1080"/>
            <w:shd w:val="clear" w:color="auto" w:fill="F2F5F8"/>
          </w:tcPr>
          <w:p>
            <w:pPr>
              <w:spacing w:after="40"/>
              <w:jc w:val="right"/>
            </w:pPr>
            <w:r/>
            <w:r>
              <w:rPr>
                <w:rFonts w:ascii="Arial" w:hAnsi="Arial"/>
                <w:sz w:val="17"/>
              </w:rPr>
              <w:t>yes</w:t>
            </w:r>
          </w:p>
        </w:tc>
      </w:tr>
      <w:tr>
        <w:tc>
          <w:tcPr>
            <w:tcW w:type="dxa" w:w="1008"/>
          </w:tcPr>
          <w:p>
            <w:pPr>
              <w:spacing w:after="40"/>
            </w:pPr>
            <w:r/>
            <w:r>
              <w:rPr>
                <w:rFonts w:ascii="Arial" w:hAnsi="Arial"/>
                <w:sz w:val="17"/>
              </w:rPr>
              <w:t>1500</w:t>
            </w:r>
          </w:p>
        </w:tc>
        <w:tc>
          <w:tcPr>
            <w:tcW w:type="dxa" w:w="1368"/>
          </w:tcPr>
          <w:p>
            <w:pPr>
              <w:spacing w:after="40"/>
              <w:jc w:val="right"/>
            </w:pPr>
            <w:r/>
            <w:r>
              <w:rPr>
                <w:rFonts w:ascii="Arial" w:hAnsi="Arial"/>
                <w:sz w:val="17"/>
              </w:rPr>
              <w:t>2.70</w:t>
            </w:r>
          </w:p>
        </w:tc>
        <w:tc>
          <w:tcPr>
            <w:tcW w:type="dxa" w:w="1368"/>
          </w:tcPr>
          <w:p>
            <w:pPr>
              <w:spacing w:after="40"/>
              <w:jc w:val="right"/>
            </w:pPr>
            <w:r/>
            <w:r>
              <w:rPr>
                <w:rFonts w:ascii="Arial" w:hAnsi="Arial"/>
                <w:sz w:val="17"/>
              </w:rPr>
              <w:t>5.248</w:t>
            </w:r>
          </w:p>
        </w:tc>
        <w:tc>
          <w:tcPr>
            <w:tcW w:type="dxa" w:w="1368"/>
          </w:tcPr>
          <w:p>
            <w:pPr>
              <w:spacing w:after="40"/>
              <w:jc w:val="right"/>
            </w:pPr>
            <w:r/>
            <w:r>
              <w:rPr>
                <w:rFonts w:ascii="Arial" w:hAnsi="Arial"/>
                <w:sz w:val="17"/>
              </w:rPr>
              <w:t>1.77</w:t>
            </w:r>
          </w:p>
        </w:tc>
        <w:tc>
          <w:tcPr>
            <w:tcW w:type="dxa" w:w="1152"/>
          </w:tcPr>
          <w:p>
            <w:pPr>
              <w:spacing w:after="40"/>
              <w:jc w:val="right"/>
            </w:pPr>
            <w:r/>
            <w:r>
              <w:rPr>
                <w:rFonts w:ascii="Arial" w:hAnsi="Arial"/>
                <w:sz w:val="17"/>
              </w:rPr>
              <w:t>2.965</w:t>
            </w:r>
          </w:p>
        </w:tc>
        <w:tc>
          <w:tcPr>
            <w:tcW w:type="dxa" w:w="1152"/>
          </w:tcPr>
          <w:p>
            <w:pPr>
              <w:spacing w:after="40"/>
              <w:jc w:val="right"/>
            </w:pPr>
            <w:r/>
            <w:r>
              <w:rPr>
                <w:rFonts w:ascii="Arial" w:hAnsi="Arial"/>
                <w:sz w:val="17"/>
              </w:rPr>
              <w:t>0.337</w:t>
            </w:r>
          </w:p>
        </w:tc>
        <w:tc>
          <w:tcPr>
            <w:tcW w:type="dxa" w:w="1080"/>
          </w:tcPr>
          <w:p>
            <w:pPr>
              <w:spacing w:after="40"/>
              <w:jc w:val="right"/>
            </w:pPr>
            <w:r/>
            <w:r>
              <w:rPr>
                <w:rFonts w:ascii="Arial" w:hAnsi="Arial"/>
                <w:sz w:val="17"/>
              </w:rPr>
              <w:t>yes</w:t>
            </w:r>
          </w:p>
        </w:tc>
      </w:tr>
      <w:tr>
        <w:tc>
          <w:tcPr>
            <w:tcW w:type="dxa" w:w="1008"/>
            <w:shd w:val="clear" w:color="auto" w:fill="F2F5F8"/>
          </w:tcPr>
          <w:p>
            <w:pPr>
              <w:spacing w:after="40"/>
            </w:pPr>
            <w:r/>
            <w:r>
              <w:rPr>
                <w:rFonts w:ascii="Arial" w:hAnsi="Arial"/>
                <w:sz w:val="17"/>
              </w:rPr>
              <w:t>1750</w:t>
            </w:r>
          </w:p>
        </w:tc>
        <w:tc>
          <w:tcPr>
            <w:tcW w:type="dxa" w:w="1368"/>
            <w:shd w:val="clear" w:color="auto" w:fill="F2F5F8"/>
          </w:tcPr>
          <w:p>
            <w:pPr>
              <w:spacing w:after="40"/>
              <w:jc w:val="right"/>
            </w:pPr>
            <w:r/>
            <w:r>
              <w:rPr>
                <w:rFonts w:ascii="Arial" w:hAnsi="Arial"/>
                <w:sz w:val="17"/>
              </w:rPr>
              <w:t>3.13</w:t>
            </w:r>
          </w:p>
        </w:tc>
        <w:tc>
          <w:tcPr>
            <w:tcW w:type="dxa" w:w="1368"/>
            <w:shd w:val="clear" w:color="auto" w:fill="F2F5F8"/>
          </w:tcPr>
          <w:p>
            <w:pPr>
              <w:spacing w:after="40"/>
              <w:jc w:val="right"/>
            </w:pPr>
            <w:r/>
            <w:r>
              <w:rPr>
                <w:rFonts w:ascii="Arial" w:hAnsi="Arial"/>
                <w:sz w:val="17"/>
              </w:rPr>
              <w:t>6.084</w:t>
            </w:r>
          </w:p>
        </w:tc>
        <w:tc>
          <w:tcPr>
            <w:tcW w:type="dxa" w:w="1368"/>
            <w:shd w:val="clear" w:color="auto" w:fill="F2F5F8"/>
          </w:tcPr>
          <w:p>
            <w:pPr>
              <w:spacing w:after="40"/>
              <w:jc w:val="right"/>
            </w:pPr>
            <w:r/>
            <w:r>
              <w:rPr>
                <w:rFonts w:ascii="Arial" w:hAnsi="Arial"/>
                <w:sz w:val="17"/>
              </w:rPr>
              <w:t>2.28</w:t>
            </w:r>
          </w:p>
        </w:tc>
        <w:tc>
          <w:tcPr>
            <w:tcW w:type="dxa" w:w="1152"/>
            <w:shd w:val="clear" w:color="auto" w:fill="F2F5F8"/>
          </w:tcPr>
          <w:p>
            <w:pPr>
              <w:spacing w:after="40"/>
              <w:jc w:val="right"/>
            </w:pPr>
            <w:r/>
            <w:r>
              <w:rPr>
                <w:rFonts w:ascii="Arial" w:hAnsi="Arial"/>
                <w:sz w:val="17"/>
              </w:rPr>
              <w:t>2.669</w:t>
            </w:r>
          </w:p>
        </w:tc>
        <w:tc>
          <w:tcPr>
            <w:tcW w:type="dxa" w:w="1152"/>
            <w:shd w:val="clear" w:color="auto" w:fill="F2F5F8"/>
          </w:tcPr>
          <w:p>
            <w:pPr>
              <w:spacing w:after="40"/>
              <w:jc w:val="right"/>
            </w:pPr>
            <w:r/>
            <w:r>
              <w:rPr>
                <w:rFonts w:ascii="Arial" w:hAnsi="Arial"/>
                <w:sz w:val="17"/>
              </w:rPr>
              <w:t>0.375</w:t>
            </w:r>
          </w:p>
        </w:tc>
        <w:tc>
          <w:tcPr>
            <w:tcW w:type="dxa" w:w="1080"/>
            <w:shd w:val="clear" w:color="auto" w:fill="F2F5F8"/>
          </w:tcPr>
          <w:p>
            <w:pPr>
              <w:spacing w:after="40"/>
              <w:jc w:val="right"/>
            </w:pPr>
            <w:r/>
            <w:r>
              <w:rPr>
                <w:rFonts w:ascii="Arial" w:hAnsi="Arial"/>
                <w:sz w:val="17"/>
              </w:rPr>
              <w:t>yes</w:t>
            </w:r>
          </w:p>
        </w:tc>
      </w:tr>
      <w:tr>
        <w:tc>
          <w:tcPr>
            <w:tcW w:type="dxa" w:w="1008"/>
          </w:tcPr>
          <w:p>
            <w:pPr>
              <w:spacing w:after="40"/>
            </w:pPr>
            <w:r/>
            <w:r>
              <w:rPr>
                <w:rFonts w:ascii="Arial" w:hAnsi="Arial"/>
                <w:sz w:val="17"/>
              </w:rPr>
              <w:t>2000</w:t>
            </w:r>
          </w:p>
        </w:tc>
        <w:tc>
          <w:tcPr>
            <w:tcW w:type="dxa" w:w="1368"/>
          </w:tcPr>
          <w:p>
            <w:pPr>
              <w:spacing w:after="40"/>
              <w:jc w:val="right"/>
            </w:pPr>
            <w:r/>
            <w:r>
              <w:rPr>
                <w:rFonts w:ascii="Arial" w:hAnsi="Arial"/>
                <w:sz w:val="17"/>
              </w:rPr>
              <w:t>3.65</w:t>
            </w:r>
          </w:p>
        </w:tc>
        <w:tc>
          <w:tcPr>
            <w:tcW w:type="dxa" w:w="1368"/>
          </w:tcPr>
          <w:p>
            <w:pPr>
              <w:spacing w:after="40"/>
              <w:jc w:val="right"/>
            </w:pPr>
            <w:r/>
            <w:r>
              <w:rPr>
                <w:rFonts w:ascii="Arial" w:hAnsi="Arial"/>
                <w:sz w:val="17"/>
              </w:rPr>
              <w:t>7.095</w:t>
            </w:r>
          </w:p>
        </w:tc>
        <w:tc>
          <w:tcPr>
            <w:tcW w:type="dxa" w:w="1368"/>
          </w:tcPr>
          <w:p>
            <w:pPr>
              <w:spacing w:after="40"/>
              <w:jc w:val="right"/>
            </w:pPr>
            <w:r/>
            <w:r>
              <w:rPr>
                <w:rFonts w:ascii="Arial" w:hAnsi="Arial"/>
                <w:sz w:val="17"/>
              </w:rPr>
              <w:t>3.10</w:t>
            </w:r>
          </w:p>
        </w:tc>
        <w:tc>
          <w:tcPr>
            <w:tcW w:type="dxa" w:w="1152"/>
          </w:tcPr>
          <w:p>
            <w:pPr>
              <w:spacing w:after="40"/>
              <w:jc w:val="right"/>
            </w:pPr>
            <w:r/>
            <w:r>
              <w:rPr>
                <w:rFonts w:ascii="Arial" w:hAnsi="Arial"/>
                <w:sz w:val="17"/>
              </w:rPr>
              <w:t>2.289</w:t>
            </w:r>
          </w:p>
        </w:tc>
        <w:tc>
          <w:tcPr>
            <w:tcW w:type="dxa" w:w="1152"/>
          </w:tcPr>
          <w:p>
            <w:pPr>
              <w:spacing w:after="40"/>
              <w:jc w:val="right"/>
            </w:pPr>
            <w:r/>
            <w:r>
              <w:rPr>
                <w:rFonts w:ascii="Arial" w:hAnsi="Arial"/>
                <w:sz w:val="17"/>
              </w:rPr>
              <w:t>0.437</w:t>
            </w:r>
          </w:p>
        </w:tc>
        <w:tc>
          <w:tcPr>
            <w:tcW w:type="dxa" w:w="1080"/>
          </w:tcPr>
          <w:p>
            <w:pPr>
              <w:spacing w:after="40"/>
              <w:jc w:val="right"/>
            </w:pPr>
            <w:r/>
            <w:r>
              <w:rPr>
                <w:rFonts w:ascii="Arial" w:hAnsi="Arial"/>
                <w:sz w:val="17"/>
              </w:rPr>
              <w:t>yes</w:t>
            </w:r>
          </w:p>
        </w:tc>
      </w:tr>
      <w:tr>
        <w:tc>
          <w:tcPr>
            <w:tcW w:type="dxa" w:w="1008"/>
            <w:shd w:val="clear" w:color="auto" w:fill="F2F5F8"/>
          </w:tcPr>
          <w:p>
            <w:pPr>
              <w:spacing w:after="40"/>
            </w:pPr>
            <w:r/>
            <w:r>
              <w:rPr>
                <w:rFonts w:ascii="Arial" w:hAnsi="Arial"/>
                <w:sz w:val="17"/>
              </w:rPr>
              <w:t>2250</w:t>
            </w:r>
          </w:p>
        </w:tc>
        <w:tc>
          <w:tcPr>
            <w:tcW w:type="dxa" w:w="1368"/>
            <w:shd w:val="clear" w:color="auto" w:fill="F2F5F8"/>
          </w:tcPr>
          <w:p>
            <w:pPr>
              <w:spacing w:after="40"/>
              <w:jc w:val="right"/>
            </w:pPr>
            <w:r/>
            <w:r>
              <w:rPr>
                <w:rFonts w:ascii="Arial" w:hAnsi="Arial"/>
                <w:sz w:val="17"/>
              </w:rPr>
              <w:t>3.80</w:t>
            </w:r>
          </w:p>
        </w:tc>
        <w:tc>
          <w:tcPr>
            <w:tcW w:type="dxa" w:w="1368"/>
            <w:shd w:val="clear" w:color="auto" w:fill="F2F5F8"/>
          </w:tcPr>
          <w:p>
            <w:pPr>
              <w:spacing w:after="40"/>
              <w:jc w:val="right"/>
            </w:pPr>
            <w:r/>
            <w:r>
              <w:rPr>
                <w:rFonts w:ascii="Arial" w:hAnsi="Arial"/>
                <w:sz w:val="17"/>
              </w:rPr>
              <w:t>7.387</w:t>
            </w:r>
          </w:p>
        </w:tc>
        <w:tc>
          <w:tcPr>
            <w:tcW w:type="dxa" w:w="1368"/>
            <w:shd w:val="clear" w:color="auto" w:fill="F2F5F8"/>
          </w:tcPr>
          <w:p>
            <w:pPr>
              <w:spacing w:after="40"/>
              <w:jc w:val="right"/>
            </w:pPr>
            <w:r/>
            <w:r>
              <w:rPr>
                <w:rFonts w:ascii="Arial" w:hAnsi="Arial"/>
                <w:sz w:val="17"/>
              </w:rPr>
              <w:t>3.90</w:t>
            </w:r>
          </w:p>
        </w:tc>
        <w:tc>
          <w:tcPr>
            <w:tcW w:type="dxa" w:w="1152"/>
            <w:shd w:val="clear" w:color="auto" w:fill="F2F5F8"/>
          </w:tcPr>
          <w:p>
            <w:pPr>
              <w:spacing w:after="40"/>
              <w:jc w:val="right"/>
            </w:pPr>
            <w:r/>
            <w:r>
              <w:rPr>
                <w:rFonts w:ascii="Arial" w:hAnsi="Arial"/>
                <w:sz w:val="17"/>
              </w:rPr>
              <w:t>1.894</w:t>
            </w:r>
          </w:p>
        </w:tc>
        <w:tc>
          <w:tcPr>
            <w:tcW w:type="dxa" w:w="1152"/>
            <w:shd w:val="clear" w:color="auto" w:fill="F2F5F8"/>
          </w:tcPr>
          <w:p>
            <w:pPr>
              <w:spacing w:after="40"/>
              <w:jc w:val="right"/>
            </w:pPr>
            <w:r/>
            <w:r>
              <w:rPr>
                <w:rFonts w:ascii="Arial" w:hAnsi="Arial"/>
                <w:sz w:val="17"/>
              </w:rPr>
              <w:t>0.528</w:t>
            </w:r>
          </w:p>
        </w:tc>
        <w:tc>
          <w:tcPr>
            <w:tcW w:type="dxa" w:w="1080"/>
            <w:shd w:val="clear" w:color="auto" w:fill="F2F5F8"/>
          </w:tcPr>
          <w:p>
            <w:pPr>
              <w:spacing w:after="40"/>
              <w:jc w:val="right"/>
            </w:pPr>
            <w:r/>
            <w:r>
              <w:rPr>
                <w:rFonts w:ascii="Arial" w:hAnsi="Arial"/>
                <w:sz w:val="17"/>
              </w:rPr>
              <w:t>yes</w:t>
            </w:r>
          </w:p>
        </w:tc>
      </w:tr>
      <w:tr>
        <w:tc>
          <w:tcPr>
            <w:tcW w:type="dxa" w:w="1008"/>
          </w:tcPr>
          <w:p>
            <w:pPr>
              <w:spacing w:after="40"/>
            </w:pPr>
            <w:r/>
            <w:r>
              <w:rPr>
                <w:rFonts w:ascii="Arial" w:hAnsi="Arial"/>
                <w:sz w:val="17"/>
              </w:rPr>
              <w:t>2500</w:t>
            </w:r>
          </w:p>
        </w:tc>
        <w:tc>
          <w:tcPr>
            <w:tcW w:type="dxa" w:w="1368"/>
          </w:tcPr>
          <w:p>
            <w:pPr>
              <w:spacing w:after="40"/>
              <w:jc w:val="right"/>
            </w:pPr>
            <w:r/>
            <w:r>
              <w:rPr>
                <w:rFonts w:ascii="Arial" w:hAnsi="Arial"/>
                <w:sz w:val="17"/>
              </w:rPr>
              <w:t>4.00</w:t>
            </w:r>
          </w:p>
        </w:tc>
        <w:tc>
          <w:tcPr>
            <w:tcW w:type="dxa" w:w="1368"/>
          </w:tcPr>
          <w:p>
            <w:pPr>
              <w:spacing w:after="40"/>
              <w:jc w:val="right"/>
            </w:pPr>
            <w:r/>
            <w:r>
              <w:rPr>
                <w:rFonts w:ascii="Arial" w:hAnsi="Arial"/>
                <w:sz w:val="17"/>
              </w:rPr>
              <w:t>7.775</w:t>
            </w:r>
          </w:p>
        </w:tc>
        <w:tc>
          <w:tcPr>
            <w:tcW w:type="dxa" w:w="1368"/>
          </w:tcPr>
          <w:p>
            <w:pPr>
              <w:spacing w:after="40"/>
              <w:jc w:val="right"/>
            </w:pPr>
            <w:r/>
            <w:r>
              <w:rPr>
                <w:rFonts w:ascii="Arial" w:hAnsi="Arial"/>
                <w:sz w:val="17"/>
              </w:rPr>
              <w:t>4.70</w:t>
            </w:r>
          </w:p>
        </w:tc>
        <w:tc>
          <w:tcPr>
            <w:tcW w:type="dxa" w:w="1152"/>
          </w:tcPr>
          <w:p>
            <w:pPr>
              <w:spacing w:after="40"/>
              <w:jc w:val="right"/>
            </w:pPr>
            <w:r/>
            <w:r>
              <w:rPr>
                <w:rFonts w:ascii="Arial" w:hAnsi="Arial"/>
                <w:sz w:val="17"/>
              </w:rPr>
              <w:t>1.654</w:t>
            </w:r>
          </w:p>
        </w:tc>
        <w:tc>
          <w:tcPr>
            <w:tcW w:type="dxa" w:w="1152"/>
          </w:tcPr>
          <w:p>
            <w:pPr>
              <w:spacing w:after="40"/>
              <w:jc w:val="right"/>
            </w:pPr>
            <w:r/>
            <w:r>
              <w:rPr>
                <w:rFonts w:ascii="Arial" w:hAnsi="Arial"/>
                <w:sz w:val="17"/>
              </w:rPr>
              <w:t>0.604</w:t>
            </w:r>
          </w:p>
        </w:tc>
        <w:tc>
          <w:tcPr>
            <w:tcW w:type="dxa" w:w="1080"/>
          </w:tcPr>
          <w:p>
            <w:pPr>
              <w:spacing w:after="40"/>
              <w:jc w:val="right"/>
            </w:pPr>
            <w:r/>
            <w:r>
              <w:rPr>
                <w:rFonts w:ascii="Arial" w:hAnsi="Arial"/>
                <w:sz w:val="17"/>
              </w:rPr>
              <w:t>yes</w:t>
            </w:r>
          </w:p>
        </w:tc>
      </w:tr>
      <w:tr>
        <w:tc>
          <w:tcPr>
            <w:tcW w:type="dxa" w:w="1008"/>
            <w:shd w:val="clear" w:color="auto" w:fill="FDF3E0"/>
          </w:tcPr>
          <w:p>
            <w:pPr>
              <w:spacing w:after="40"/>
            </w:pPr>
            <w:r/>
            <w:r>
              <w:rPr>
                <w:rFonts w:ascii="Arial" w:hAnsi="Arial"/>
                <w:sz w:val="17"/>
              </w:rPr>
              <w:t>2750</w:t>
            </w:r>
          </w:p>
        </w:tc>
        <w:tc>
          <w:tcPr>
            <w:tcW w:type="dxa" w:w="1368"/>
            <w:shd w:val="clear" w:color="auto" w:fill="FDF3E0"/>
          </w:tcPr>
          <w:p>
            <w:pPr>
              <w:spacing w:after="40"/>
              <w:jc w:val="right"/>
            </w:pPr>
            <w:r/>
            <w:r>
              <w:rPr>
                <w:rFonts w:ascii="Arial" w:hAnsi="Arial"/>
                <w:sz w:val="17"/>
              </w:rPr>
              <w:t>4.10</w:t>
            </w:r>
          </w:p>
        </w:tc>
        <w:tc>
          <w:tcPr>
            <w:tcW w:type="dxa" w:w="1368"/>
            <w:shd w:val="clear" w:color="auto" w:fill="FDF3E0"/>
          </w:tcPr>
          <w:p>
            <w:pPr>
              <w:spacing w:after="40"/>
              <w:jc w:val="right"/>
            </w:pPr>
            <w:r/>
            <w:r>
              <w:rPr>
                <w:rFonts w:ascii="Arial" w:hAnsi="Arial"/>
                <w:sz w:val="17"/>
              </w:rPr>
              <w:t>7.970</w:t>
            </w:r>
          </w:p>
        </w:tc>
        <w:tc>
          <w:tcPr>
            <w:tcW w:type="dxa" w:w="1368"/>
            <w:shd w:val="clear" w:color="auto" w:fill="FDF3E0"/>
          </w:tcPr>
          <w:p>
            <w:pPr>
              <w:spacing w:after="40"/>
              <w:jc w:val="right"/>
            </w:pPr>
            <w:r/>
            <w:r>
              <w:rPr>
                <w:rFonts w:ascii="Arial" w:hAnsi="Arial"/>
                <w:sz w:val="17"/>
              </w:rPr>
              <w:t>4.20</w:t>
            </w:r>
          </w:p>
        </w:tc>
        <w:tc>
          <w:tcPr>
            <w:tcW w:type="dxa" w:w="1152"/>
            <w:shd w:val="clear" w:color="auto" w:fill="FDF3E0"/>
          </w:tcPr>
          <w:p>
            <w:pPr>
              <w:spacing w:after="40"/>
              <w:jc w:val="right"/>
            </w:pPr>
            <w:r/>
            <w:r>
              <w:rPr>
                <w:rFonts w:ascii="Arial" w:hAnsi="Arial"/>
                <w:sz w:val="17"/>
              </w:rPr>
              <w:t>1.898</w:t>
            </w:r>
          </w:p>
        </w:tc>
        <w:tc>
          <w:tcPr>
            <w:tcW w:type="dxa" w:w="1152"/>
            <w:shd w:val="clear" w:color="auto" w:fill="FDF3E0"/>
          </w:tcPr>
          <w:p>
            <w:pPr>
              <w:spacing w:after="40"/>
              <w:jc w:val="right"/>
            </w:pPr>
            <w:r/>
            <w:r>
              <w:rPr>
                <w:rFonts w:ascii="Arial" w:hAnsi="Arial"/>
                <w:sz w:val="17"/>
              </w:rPr>
              <w:t>0.527</w:t>
            </w:r>
          </w:p>
        </w:tc>
        <w:tc>
          <w:tcPr>
            <w:tcW w:type="dxa" w:w="1080"/>
            <w:shd w:val="clear" w:color="auto" w:fill="FDF3E0"/>
          </w:tcPr>
          <w:p>
            <w:pPr>
              <w:spacing w:after="40"/>
              <w:jc w:val="right"/>
            </w:pPr>
            <w:r/>
            <w:r>
              <w:rPr>
                <w:rFonts w:ascii="Arial" w:hAnsi="Arial"/>
                <w:sz w:val="17"/>
              </w:rPr>
              <w:t>⚠ no</w:t>
            </w:r>
          </w:p>
        </w:tc>
      </w:tr>
      <w:tr>
        <w:tc>
          <w:tcPr>
            <w:tcW w:type="dxa" w:w="1008"/>
            <w:shd w:val="clear" w:color="auto" w:fill="FDF3E0"/>
          </w:tcPr>
          <w:p>
            <w:pPr>
              <w:spacing w:after="40"/>
            </w:pPr>
            <w:r/>
            <w:r>
              <w:rPr>
                <w:rFonts w:ascii="Arial" w:hAnsi="Arial"/>
                <w:sz w:val="17"/>
              </w:rPr>
              <w:t>3000</w:t>
            </w:r>
          </w:p>
        </w:tc>
        <w:tc>
          <w:tcPr>
            <w:tcW w:type="dxa" w:w="1368"/>
            <w:shd w:val="clear" w:color="auto" w:fill="FDF3E0"/>
          </w:tcPr>
          <w:p>
            <w:pPr>
              <w:spacing w:after="40"/>
              <w:jc w:val="right"/>
            </w:pPr>
            <w:r/>
            <w:r>
              <w:rPr>
                <w:rFonts w:ascii="Arial" w:hAnsi="Arial"/>
                <w:sz w:val="17"/>
              </w:rPr>
              <w:t>4.40</w:t>
            </w:r>
          </w:p>
        </w:tc>
        <w:tc>
          <w:tcPr>
            <w:tcW w:type="dxa" w:w="1368"/>
            <w:shd w:val="clear" w:color="auto" w:fill="FDF3E0"/>
          </w:tcPr>
          <w:p>
            <w:pPr>
              <w:spacing w:after="40"/>
              <w:jc w:val="right"/>
            </w:pPr>
            <w:r/>
            <w:r>
              <w:rPr>
                <w:rFonts w:ascii="Arial" w:hAnsi="Arial"/>
                <w:sz w:val="17"/>
              </w:rPr>
              <w:t>8.553</w:t>
            </w:r>
          </w:p>
        </w:tc>
        <w:tc>
          <w:tcPr>
            <w:tcW w:type="dxa" w:w="1368"/>
            <w:shd w:val="clear" w:color="auto" w:fill="FDF3E0"/>
          </w:tcPr>
          <w:p>
            <w:pPr>
              <w:spacing w:after="40"/>
              <w:jc w:val="right"/>
            </w:pPr>
            <w:r/>
            <w:r>
              <w:rPr>
                <w:rFonts w:ascii="Arial" w:hAnsi="Arial"/>
                <w:sz w:val="17"/>
              </w:rPr>
              <w:t>4.40</w:t>
            </w:r>
          </w:p>
        </w:tc>
        <w:tc>
          <w:tcPr>
            <w:tcW w:type="dxa" w:w="1152"/>
            <w:shd w:val="clear" w:color="auto" w:fill="FDF3E0"/>
          </w:tcPr>
          <w:p>
            <w:pPr>
              <w:spacing w:after="40"/>
              <w:jc w:val="right"/>
            </w:pPr>
            <w:r/>
            <w:r>
              <w:rPr>
                <w:rFonts w:ascii="Arial" w:hAnsi="Arial"/>
                <w:sz w:val="17"/>
              </w:rPr>
              <w:t>1.944</w:t>
            </w:r>
          </w:p>
        </w:tc>
        <w:tc>
          <w:tcPr>
            <w:tcW w:type="dxa" w:w="1152"/>
            <w:shd w:val="clear" w:color="auto" w:fill="FDF3E0"/>
          </w:tcPr>
          <w:p>
            <w:pPr>
              <w:spacing w:after="40"/>
              <w:jc w:val="right"/>
            </w:pPr>
            <w:r/>
            <w:r>
              <w:rPr>
                <w:rFonts w:ascii="Arial" w:hAnsi="Arial"/>
                <w:sz w:val="17"/>
              </w:rPr>
              <w:t>0.514</w:t>
            </w:r>
          </w:p>
        </w:tc>
        <w:tc>
          <w:tcPr>
            <w:tcW w:type="dxa" w:w="1080"/>
            <w:shd w:val="clear" w:color="auto" w:fill="FDF3E0"/>
          </w:tcPr>
          <w:p>
            <w:pPr>
              <w:spacing w:after="40"/>
              <w:jc w:val="right"/>
            </w:pPr>
            <w:r/>
            <w:r>
              <w:rPr>
                <w:rFonts w:ascii="Arial" w:hAnsi="Arial"/>
                <w:sz w:val="17"/>
              </w:rPr>
              <w:t>⚠ no</w:t>
            </w:r>
          </w:p>
        </w:tc>
      </w:tr>
    </w:tbl>
    <w:p>
      <w:pPr>
        <w:spacing w:after="200"/>
      </w:pPr>
      <w:r>
        <w:rPr>
          <w:rFonts w:ascii="Arial" w:hAnsi="Arial"/>
          <w:b w:val="0"/>
          <w:i/>
          <w:color w:val="5B6B7A"/>
          <w:sz w:val="16"/>
        </w:rPr>
        <w:t>Table 3 — The trial data. Knots from m/s using the exact factor 3600/1852.</w:t>
      </w:r>
    </w:p>
    <w:p>
      <w:pPr>
        <w:pStyle w:val="Heading2"/>
      </w:pPr>
      <w:r>
        <w:t>3.2  Why two runs are excluded</w:t>
      </w:r>
    </w:p>
    <w:p>
      <w:pPr>
        <w:spacing w:after="120"/>
      </w:pPr>
      <w:r>
        <w:rPr>
          <w:rFonts w:ascii="Arial" w:hAnsi="Arial"/>
          <w:b w:val="0"/>
          <w:i w:val="0"/>
          <w:sz w:val="20"/>
        </w:rPr>
        <w:t>The 2750 and 3000 rpm runs report 4.20 and 4.40 L/h — both below the 4.70 L/h of the 2500 rpm run beneath them. No steady state produces that: a diesel at higher load cannot burn less. The log itself supplies the explanation, recording "noticeable increase in wave chop from this run forward".</w:t>
      </w:r>
    </w:p>
    <w:p>
      <w:pPr>
        <w:spacing w:after="120"/>
      </w:pPr>
      <w:r>
        <w:rPr>
          <w:rFonts w:ascii="Arial" w:hAnsi="Arial"/>
          <w:b w:val="0"/>
          <w:i w:val="0"/>
          <w:sz w:val="20"/>
        </w:rPr>
        <w:t>Including them is not neutral. Fitted over all nine points the cubic gives R² = 0.933 and RMSE 0.341 L/h; over the seven clean points it gives R² = 0.971 and RMSE 0.214 L/h. The two suspect runs are doing real damage to the fit, and they are the two the source document itself flags as disturbed.</w:t>
      </w:r>
    </w:p>
    <w:p>
      <w:pPr>
        <w:jc w:val="center"/>
      </w:pPr>
      <w:r>
        <w:drawing>
          <wp:inline xmlns:a="http://schemas.openxmlformats.org/drawingml/2006/main" xmlns:pic="http://schemas.openxmlformats.org/drawingml/2006/picture">
            <wp:extent cx="5669280" cy="3555485"/>
            <wp:docPr id="1" name="Picture 1"/>
            <wp:cNvGraphicFramePr>
              <a:graphicFrameLocks noChangeAspect="1"/>
            </wp:cNvGraphicFramePr>
            <a:graphic>
              <a:graphicData uri="http://schemas.openxmlformats.org/drawingml/2006/picture">
                <pic:pic>
                  <pic:nvPicPr>
                    <pic:cNvPr id="0" name="fig01_trials.png"/>
                    <pic:cNvPicPr/>
                  </pic:nvPicPr>
                  <pic:blipFill>
                    <a:blip r:embed="rId9"/>
                    <a:stretch>
                      <a:fillRect/>
                    </a:stretch>
                  </pic:blipFill>
                  <pic:spPr>
                    <a:xfrm>
                      <a:off x="0" y="0"/>
                      <a:ext cx="5669280" cy="3555485"/>
                    </a:xfrm>
                    <a:prstGeom prst="rect"/>
                  </pic:spPr>
                </pic:pic>
              </a:graphicData>
            </a:graphic>
          </wp:inline>
        </w:drawing>
      </w:r>
    </w:p>
    <w:p>
      <w:pPr>
        <w:spacing w:after="240"/>
        <w:jc w:val="center"/>
      </w:pPr>
      <w:r>
        <w:rPr>
          <w:rFonts w:ascii="Arial" w:hAnsi="Arial"/>
          <w:b w:val="0"/>
          <w:i/>
          <w:color w:val="5B6B7A"/>
          <w:sz w:val="17"/>
        </w:rPr>
        <w:t>Figure 1 — Fuel rate against speed over ground. The open circles are the excluded runs; note both fall below the 2500 rpm point to their left.</w:t>
      </w:r>
    </w:p>
    <w:p>
      <w:pPr>
        <w:pStyle w:val="Heading2"/>
      </w:pPr>
      <w:r>
        <w:t>3.3  Candidate model forms</w:t>
      </w:r>
    </w:p>
    <w:p>
      <w:pPr>
        <w:spacing w:after="120"/>
      </w:pPr>
      <w:r>
        <w:rPr>
          <w:rFonts w:ascii="Arial" w:hAnsi="Arial"/>
          <w:b w:val="0"/>
          <w:i w:val="0"/>
          <w:sz w:val="20"/>
        </w:rPr>
        <w:t>Four forms were fitted over the seven-point window. All are single-parameter-pair models so none has a complexity advantage.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448"/>
            <w:shd w:val="clear" w:color="auto" w:fill="1F3B60"/>
          </w:tcPr>
          <w:p>
            <w:pPr>
              <w:spacing w:after="40"/>
            </w:pPr>
            <w:r/>
            <w:r>
              <w:rPr>
                <w:rFonts w:ascii="Arial" w:hAnsi="Arial"/>
                <w:b/>
                <w:color w:val="FFFFFF"/>
                <w:sz w:val="17"/>
              </w:rPr>
              <w:t>Model form</w:t>
            </w:r>
          </w:p>
        </w:tc>
        <w:tc>
          <w:tcPr>
            <w:tcW w:type="dxa" w:w="3312"/>
            <w:shd w:val="clear" w:color="auto" w:fill="1F3B60"/>
          </w:tcPr>
          <w:p>
            <w:pPr>
              <w:spacing w:after="40"/>
            </w:pPr>
            <w:r/>
            <w:r>
              <w:rPr>
                <w:rFonts w:ascii="Arial" w:hAnsi="Arial"/>
                <w:b/>
                <w:color w:val="FFFFFF"/>
                <w:sz w:val="17"/>
              </w:rPr>
              <w:t>Fitted coefficients</w:t>
            </w:r>
          </w:p>
        </w:tc>
        <w:tc>
          <w:tcPr>
            <w:tcW w:type="dxa" w:w="1296"/>
            <w:shd w:val="clear" w:color="auto" w:fill="1F3B60"/>
          </w:tcPr>
          <w:p>
            <w:pPr>
              <w:spacing w:after="40"/>
              <w:jc w:val="right"/>
            </w:pPr>
            <w:r/>
            <w:r>
              <w:rPr>
                <w:rFonts w:ascii="Arial" w:hAnsi="Arial"/>
                <w:b/>
                <w:color w:val="FFFFFF"/>
                <w:sz w:val="17"/>
              </w:rPr>
              <w:t>R²</w:t>
            </w:r>
          </w:p>
        </w:tc>
        <w:tc>
          <w:tcPr>
            <w:tcW w:type="dxa" w:w="1440"/>
            <w:shd w:val="clear" w:color="auto" w:fill="1F3B60"/>
          </w:tcPr>
          <w:p>
            <w:pPr>
              <w:spacing w:after="40"/>
              <w:jc w:val="right"/>
            </w:pPr>
            <w:r/>
            <w:r>
              <w:rPr>
                <w:rFonts w:ascii="Arial" w:hAnsi="Arial"/>
                <w:b/>
                <w:color w:val="FFFFFF"/>
                <w:sz w:val="17"/>
              </w:rPr>
              <w:t>RMSE (L/h)</w:t>
            </w:r>
          </w:p>
        </w:tc>
      </w:tr>
      <w:tr>
        <w:tc>
          <w:tcPr>
            <w:tcW w:type="dxa" w:w="2448"/>
          </w:tcPr>
          <w:p>
            <w:pPr>
              <w:spacing w:after="40"/>
            </w:pPr>
            <w:r/>
            <w:r>
              <w:rPr>
                <w:rFonts w:ascii="Arial" w:hAnsi="Arial"/>
                <w:sz w:val="17"/>
              </w:rPr>
              <w:t>L/h = f₀ + f₁·RPM</w:t>
            </w:r>
          </w:p>
        </w:tc>
        <w:tc>
          <w:tcPr>
            <w:tcW w:type="dxa" w:w="3312"/>
          </w:tcPr>
          <w:p>
            <w:pPr>
              <w:spacing w:after="40"/>
            </w:pPr>
            <w:r/>
            <w:r>
              <w:rPr>
                <w:rFonts w:ascii="Arial" w:hAnsi="Arial"/>
                <w:sz w:val="17"/>
              </w:rPr>
              <w:t>f₀ = -1.7761,  f₁ = 0.00249494</w:t>
            </w:r>
          </w:p>
        </w:tc>
        <w:tc>
          <w:tcPr>
            <w:tcW w:type="dxa" w:w="1296"/>
          </w:tcPr>
          <w:p>
            <w:pPr>
              <w:spacing w:after="40"/>
              <w:jc w:val="right"/>
            </w:pPr>
            <w:r/>
            <w:r>
              <w:rPr>
                <w:rFonts w:ascii="Arial" w:hAnsi="Arial"/>
                <w:sz w:val="17"/>
              </w:rPr>
              <w:t>0.9723</w:t>
            </w:r>
          </w:p>
        </w:tc>
        <w:tc>
          <w:tcPr>
            <w:tcW w:type="dxa" w:w="1440"/>
          </w:tcPr>
          <w:p>
            <w:pPr>
              <w:spacing w:after="40"/>
              <w:jc w:val="right"/>
            </w:pPr>
            <w:r/>
            <w:r>
              <w:rPr>
                <w:rFonts w:ascii="Arial" w:hAnsi="Arial"/>
                <w:sz w:val="17"/>
              </w:rPr>
              <w:t>0.209</w:t>
            </w:r>
          </w:p>
        </w:tc>
      </w:tr>
      <w:tr>
        <w:tc>
          <w:tcPr>
            <w:tcW w:type="dxa" w:w="2448"/>
            <w:shd w:val="clear" w:color="auto" w:fill="F2F5F8"/>
          </w:tcPr>
          <w:p>
            <w:pPr>
              <w:spacing w:after="40"/>
            </w:pPr>
            <w:r/>
            <w:r>
              <w:rPr>
                <w:rFonts w:ascii="Arial" w:hAnsi="Arial"/>
                <w:sz w:val="17"/>
              </w:rPr>
              <w:t>L/h = c₀ + c₃·V³</w:t>
            </w:r>
          </w:p>
        </w:tc>
        <w:tc>
          <w:tcPr>
            <w:tcW w:type="dxa" w:w="3312"/>
            <w:shd w:val="clear" w:color="auto" w:fill="F2F5F8"/>
          </w:tcPr>
          <w:p>
            <w:pPr>
              <w:spacing w:after="40"/>
            </w:pPr>
            <w:r/>
            <w:r>
              <w:rPr>
                <w:rFonts w:ascii="Arial" w:hAnsi="Arial"/>
                <w:sz w:val="17"/>
              </w:rPr>
              <w:t>c₀ = 0.67657,  c₃ = 0.0078696</w:t>
            </w:r>
          </w:p>
        </w:tc>
        <w:tc>
          <w:tcPr>
            <w:tcW w:type="dxa" w:w="1296"/>
            <w:shd w:val="clear" w:color="auto" w:fill="F2F5F8"/>
          </w:tcPr>
          <w:p>
            <w:pPr>
              <w:spacing w:after="40"/>
              <w:jc w:val="right"/>
            </w:pPr>
            <w:r/>
            <w:r>
              <w:rPr>
                <w:rFonts w:ascii="Arial" w:hAnsi="Arial"/>
                <w:sz w:val="17"/>
              </w:rPr>
              <w:t>0.9710</w:t>
            </w:r>
          </w:p>
        </w:tc>
        <w:tc>
          <w:tcPr>
            <w:tcW w:type="dxa" w:w="1440"/>
            <w:shd w:val="clear" w:color="auto" w:fill="F2F5F8"/>
          </w:tcPr>
          <w:p>
            <w:pPr>
              <w:spacing w:after="40"/>
              <w:jc w:val="right"/>
            </w:pPr>
            <w:r/>
            <w:r>
              <w:rPr>
                <w:rFonts w:ascii="Arial" w:hAnsi="Arial"/>
                <w:sz w:val="17"/>
              </w:rPr>
              <w:t>0.214</w:t>
            </w:r>
          </w:p>
        </w:tc>
      </w:tr>
      <w:tr>
        <w:tc>
          <w:tcPr>
            <w:tcW w:type="dxa" w:w="2448"/>
          </w:tcPr>
          <w:p>
            <w:pPr>
              <w:spacing w:after="40"/>
            </w:pPr>
            <w:r/>
            <w:r>
              <w:rPr>
                <w:rFonts w:ascii="Arial" w:hAnsi="Arial"/>
                <w:sz w:val="17"/>
              </w:rPr>
              <w:t>L/h = q₀ + q₂·V²</w:t>
            </w:r>
          </w:p>
        </w:tc>
        <w:tc>
          <w:tcPr>
            <w:tcW w:type="dxa" w:w="3312"/>
          </w:tcPr>
          <w:p>
            <w:pPr>
              <w:spacing w:after="40"/>
            </w:pPr>
            <w:r/>
            <w:r>
              <w:rPr>
                <w:rFonts w:ascii="Arial" w:hAnsi="Arial"/>
                <w:sz w:val="17"/>
              </w:rPr>
              <w:t>q₀ = 0.0857,  q₂ = 0.068172</w:t>
            </w:r>
          </w:p>
        </w:tc>
        <w:tc>
          <w:tcPr>
            <w:tcW w:type="dxa" w:w="1296"/>
          </w:tcPr>
          <w:p>
            <w:pPr>
              <w:spacing w:after="40"/>
              <w:jc w:val="right"/>
            </w:pPr>
            <w:r/>
            <w:r>
              <w:rPr>
                <w:rFonts w:ascii="Arial" w:hAnsi="Arial"/>
                <w:sz w:val="17"/>
              </w:rPr>
              <w:t>0.9379</w:t>
            </w:r>
          </w:p>
        </w:tc>
        <w:tc>
          <w:tcPr>
            <w:tcW w:type="dxa" w:w="1440"/>
          </w:tcPr>
          <w:p>
            <w:pPr>
              <w:spacing w:after="40"/>
              <w:jc w:val="right"/>
            </w:pPr>
            <w:r/>
            <w:r>
              <w:rPr>
                <w:rFonts w:ascii="Arial" w:hAnsi="Arial"/>
                <w:sz w:val="17"/>
              </w:rPr>
              <w:t>0.313</w:t>
            </w:r>
          </w:p>
        </w:tc>
      </w:tr>
      <w:tr>
        <w:tc>
          <w:tcPr>
            <w:tcW w:type="dxa" w:w="2448"/>
            <w:shd w:val="clear" w:color="auto" w:fill="F2F5F8"/>
          </w:tcPr>
          <w:p>
            <w:pPr>
              <w:spacing w:after="40"/>
            </w:pPr>
            <w:r/>
            <w:r>
              <w:rPr>
                <w:rFonts w:ascii="Arial" w:hAnsi="Arial"/>
                <w:sz w:val="17"/>
              </w:rPr>
              <w:t>L/h = a·V^b</w:t>
            </w:r>
          </w:p>
        </w:tc>
        <w:tc>
          <w:tcPr>
            <w:tcW w:type="dxa" w:w="3312"/>
            <w:shd w:val="clear" w:color="auto" w:fill="F2F5F8"/>
          </w:tcPr>
          <w:p>
            <w:pPr>
              <w:spacing w:after="40"/>
            </w:pPr>
            <w:r/>
            <w:r>
              <w:rPr>
                <w:rFonts w:ascii="Arial" w:hAnsi="Arial"/>
                <w:sz w:val="17"/>
              </w:rPr>
              <w:t>a = 0.15181,  b = 1.5759</w:t>
            </w:r>
          </w:p>
        </w:tc>
        <w:tc>
          <w:tcPr>
            <w:tcW w:type="dxa" w:w="1296"/>
            <w:shd w:val="clear" w:color="auto" w:fill="F2F5F8"/>
          </w:tcPr>
          <w:p>
            <w:pPr>
              <w:spacing w:after="40"/>
              <w:jc w:val="right"/>
            </w:pPr>
            <w:r/>
            <w:r>
              <w:rPr>
                <w:rFonts w:ascii="Arial" w:hAnsi="Arial"/>
                <w:sz w:val="17"/>
              </w:rPr>
              <w:t>0.8948*</w:t>
            </w:r>
          </w:p>
        </w:tc>
        <w:tc>
          <w:tcPr>
            <w:tcW w:type="dxa" w:w="1440"/>
            <w:shd w:val="clear" w:color="auto" w:fill="F2F5F8"/>
          </w:tcPr>
          <w:p>
            <w:pPr>
              <w:spacing w:after="40"/>
              <w:jc w:val="right"/>
            </w:pPr>
            <w:r/>
            <w:r>
              <w:rPr>
                <w:rFonts w:ascii="Arial" w:hAnsi="Arial"/>
                <w:sz w:val="17"/>
              </w:rPr>
              <w:t>0.407</w:t>
            </w:r>
          </w:p>
        </w:tc>
      </w:tr>
    </w:tbl>
    <w:p>
      <w:pPr>
        <w:spacing w:after="200"/>
      </w:pPr>
      <w:r>
        <w:rPr>
          <w:rFonts w:ascii="Arial" w:hAnsi="Arial"/>
          <w:b w:val="0"/>
          <w:i/>
          <w:color w:val="5B6B7A"/>
          <w:sz w:val="16"/>
        </w:rPr>
        <w:t>Table 4 — Model comparison over 1020–2500 rpm. *The power model's R² is quoted in linear space for comparability; in log space, where it is actually fitted, it reads 0.923. RMSE is the honest comparator across all four.</w:t>
      </w:r>
    </w:p>
    <w:p>
      <w:pPr>
        <w:spacing w:after="120"/>
      </w:pPr>
      <w:r>
        <w:rPr>
          <w:rFonts w:ascii="Arial" w:hAnsi="Arial"/>
          <w:b w:val="0"/>
          <w:i w:val="0"/>
          <w:sz w:val="20"/>
        </w:rPr>
        <w:t>The RPM-linear and cubic-in-speed forms are statistically indistinguishable, which is not a coincidence — over this narrow band speed is close to linear in RPM, so a cubic in speed and a linear in RPM describe nearly the same surface. The quadratic and power forms are materially worse, the power model because it has no separate idle term and must absorb the engine's standing load into its exponent, dragging that exponent down to 1.58 when hydrodynamic drag alone would put it near 3.</w:t>
      </w:r>
    </w:p>
    <w:p>
      <w:pPr>
        <w:jc w:val="center"/>
      </w:pPr>
      <w:r>
        <w:drawing>
          <wp:inline xmlns:a="http://schemas.openxmlformats.org/drawingml/2006/main" xmlns:pic="http://schemas.openxmlformats.org/drawingml/2006/picture">
            <wp:extent cx="5669280" cy="3571646"/>
            <wp:docPr id="2" name="Picture 2"/>
            <wp:cNvGraphicFramePr>
              <a:graphicFrameLocks noChangeAspect="1"/>
            </wp:cNvGraphicFramePr>
            <a:graphic>
              <a:graphicData uri="http://schemas.openxmlformats.org/drawingml/2006/picture">
                <pic:pic>
                  <pic:nvPicPr>
                    <pic:cNvPr id="0" name="fig02_rpm_model.png"/>
                    <pic:cNvPicPr/>
                  </pic:nvPicPr>
                  <pic:blipFill>
                    <a:blip r:embed="rId10"/>
                    <a:stretch>
                      <a:fillRect/>
                    </a:stretch>
                  </pic:blipFill>
                  <pic:spPr>
                    <a:xfrm>
                      <a:off x="0" y="0"/>
                      <a:ext cx="5669280" cy="3571646"/>
                    </a:xfrm>
                    <a:prstGeom prst="rect"/>
                  </pic:spPr>
                </pic:pic>
              </a:graphicData>
            </a:graphic>
          </wp:inline>
        </w:drawing>
      </w:r>
    </w:p>
    <w:p>
      <w:pPr>
        <w:spacing w:after="240"/>
        <w:jc w:val="center"/>
      </w:pPr>
      <w:r>
        <w:rPr>
          <w:rFonts w:ascii="Arial" w:hAnsi="Arial"/>
          <w:b w:val="0"/>
          <w:i/>
          <w:color w:val="5B6B7A"/>
          <w:sz w:val="17"/>
        </w:rPr>
        <w:t>Figure 2 — The preferred model. The CS850 final report asserted that in calm seas fuel consumption relates linearly to engine RPM; over this window it does.</w:t>
      </w:r>
    </w:p>
    <w:p>
      <w:pPr>
        <w:jc w:val="center"/>
      </w:pPr>
      <w:r>
        <w:drawing>
          <wp:inline xmlns:a="http://schemas.openxmlformats.org/drawingml/2006/main" xmlns:pic="http://schemas.openxmlformats.org/drawingml/2006/picture">
            <wp:extent cx="5669280" cy="3074187"/>
            <wp:docPr id="3" name="Picture 3"/>
            <wp:cNvGraphicFramePr>
              <a:graphicFrameLocks noChangeAspect="1"/>
            </wp:cNvGraphicFramePr>
            <a:graphic>
              <a:graphicData uri="http://schemas.openxmlformats.org/drawingml/2006/picture">
                <pic:pic>
                  <pic:nvPicPr>
                    <pic:cNvPr id="0" name="fig03_residuals.png"/>
                    <pic:cNvPicPr/>
                  </pic:nvPicPr>
                  <pic:blipFill>
                    <a:blip r:embed="rId11"/>
                    <a:stretch>
                      <a:fillRect/>
                    </a:stretch>
                  </pic:blipFill>
                  <pic:spPr>
                    <a:xfrm>
                      <a:off x="0" y="0"/>
                      <a:ext cx="5669280" cy="3074187"/>
                    </a:xfrm>
                    <a:prstGeom prst="rect"/>
                  </pic:spPr>
                </pic:pic>
              </a:graphicData>
            </a:graphic>
          </wp:inline>
        </w:drawing>
      </w:r>
    </w:p>
    <w:p>
      <w:pPr>
        <w:spacing w:after="240"/>
        <w:jc w:val="center"/>
      </w:pPr>
      <w:r>
        <w:rPr>
          <w:rFonts w:ascii="Arial" w:hAnsi="Arial"/>
          <w:b w:val="0"/>
          <w:i/>
          <w:color w:val="5B6B7A"/>
          <w:sz w:val="17"/>
        </w:rPr>
        <w:t>Figure 3 — Residuals for both leading forms. Neither shows structure within the window; both under-predict the two excluded runs, which is what excluded them.</w:t>
      </w:r>
    </w:p>
    <w:p>
      <w:pPr>
        <w:pStyle w:val="Heading2"/>
      </w:pPr>
      <w:r>
        <w:t>3.4  The chosen model and its idle term</w:t>
      </w:r>
    </w:p>
    <w:p>
      <w:pPr>
        <w:spacing w:before="80" w:after="40"/>
        <w:ind w:left="432"/>
      </w:pPr>
      <w:r>
        <w:rPr>
          <w:rFonts w:ascii="Consolas" w:hAnsi="Consolas"/>
          <w:b/>
          <w:sz w:val="19"/>
        </w:rPr>
        <w:t>L/h  =  −1.7761  +  0.00249494 · RPM</w:t>
      </w:r>
    </w:p>
    <w:p>
      <w:pPr>
        <w:spacing w:after="160"/>
        <w:ind w:left="432"/>
      </w:pPr>
      <w:r>
        <w:rPr>
          <w:rFonts w:ascii="Arial" w:hAnsi="Arial"/>
          <w:i/>
          <w:color w:val="5B6B7A"/>
          <w:sz w:val="17"/>
        </w:rPr>
        <w:t>Valid 1020–2500 rpm. R² 0.972, RMSE 0.209 L/h, n = 7.</w:t>
      </w:r>
    </w:p>
    <w:p>
      <w:pPr>
        <w:spacing w:after="120"/>
      </w:pPr>
      <w:r>
        <w:rPr>
          <w:rFonts w:ascii="Arial" w:hAnsi="Arial"/>
          <w:b w:val="0"/>
          <w:i w:val="0"/>
          <w:sz w:val="20"/>
        </w:rPr>
        <w:t>The intercept is negative, so this form must never be extrapolated down toward idle — it crosses zero at about 712 rpm and would return negative fuel below that. The companion planning tool clamps it at zero for exactly this reason. The cubic form carries the same information in a more physically readable way:</w:t>
      </w:r>
    </w:p>
    <w:p>
      <w:pPr>
        <w:spacing w:before="80" w:after="40"/>
        <w:ind w:left="432"/>
      </w:pPr>
      <w:r>
        <w:rPr>
          <w:rFonts w:ascii="Consolas" w:hAnsi="Consolas"/>
          <w:b/>
          <w:sz w:val="19"/>
        </w:rPr>
        <w:t>L/h  =  0.6766  +  0.0078696 · V³</w:t>
      </w:r>
    </w:p>
    <w:p>
      <w:pPr>
        <w:spacing w:after="160"/>
        <w:ind w:left="432"/>
      </w:pPr>
      <w:r>
        <w:rPr>
          <w:rFonts w:ascii="Arial" w:hAnsi="Arial"/>
          <w:i/>
          <w:color w:val="5B6B7A"/>
          <w:sz w:val="17"/>
        </w:rPr>
        <w:t>V in knots. The constant is the standing load — engine idle plus alternator draw — and the cubic term is the speed-dependent work.</w:t>
      </w:r>
    </w:p>
    <w:p>
      <w:pPr>
        <w:spacing w:after="120"/>
      </w:pPr>
      <w:r>
        <w:rPr>
          <w:rFonts w:ascii="Arial" w:hAnsi="Arial"/>
          <w:b w:val="0"/>
          <w:i w:val="0"/>
          <w:sz w:val="20"/>
        </w:rPr>
        <w:t>That 0.677 L/h standing term is worth noting on its own: it is roughly 57% of the total burn at 4 kt and only 14% at 8 kt. It is also the term most likely to differ between a bare trial and a laden survey, because the trials carried whatever electrical load happened to be running that day and no record of it survives.</w:t>
      </w:r>
    </w:p>
    <w:p>
      <w:pPr>
        <w:pStyle w:val="Heading1"/>
      </w:pPr>
      <w:r>
        <w:t>4.  The efficiency curve</w:t>
      </w:r>
    </w:p>
    <w:p>
      <w:pPr>
        <w:pStyle w:val="Heading2"/>
      </w:pPr>
      <w:r>
        <w:t>4.1  Derivation</w:t>
      </w:r>
    </w:p>
    <w:p>
      <w:pPr>
        <w:spacing w:after="120"/>
      </w:pPr>
      <w:r>
        <w:rPr>
          <w:rFonts w:ascii="Arial" w:hAnsi="Arial"/>
          <w:b w:val="0"/>
          <w:i w:val="0"/>
          <w:sz w:val="20"/>
        </w:rPr>
        <w:t>Efficiency in distance per unit fuel follows directly from dividing speed by fuel rate:</w:t>
      </w:r>
    </w:p>
    <w:p>
      <w:pPr>
        <w:spacing w:before="80" w:after="160"/>
        <w:ind w:left="432"/>
      </w:pPr>
      <w:r>
        <w:rPr>
          <w:rFonts w:ascii="Consolas" w:hAnsi="Consolas"/>
          <w:b/>
          <w:sz w:val="19"/>
        </w:rPr>
        <w:t>E(V)  =  V / (c₀ + c₃·V³)      [NM per litre]</w:t>
      </w:r>
    </w:p>
    <w:p>
      <w:pPr>
        <w:spacing w:after="120"/>
      </w:pPr>
      <w:r>
        <w:rPr>
          <w:rFonts w:ascii="Arial" w:hAnsi="Arial"/>
          <w:b w:val="0"/>
          <w:i w:val="0"/>
          <w:sz w:val="20"/>
        </w:rPr>
        <w:t>This has the shape every displacement hull shows: at low speed the fixed standing load is amortised over very little distance, so efficiency is poor; at high speed the cubic drag term dominates and efficiency collapses again. Between them lies a maximum.</w:t>
      </w:r>
    </w:p>
    <w:p>
      <w:pPr>
        <w:pStyle w:val="Heading2"/>
      </w:pPr>
      <w:r>
        <w:t>4.2  The optimum speed</w:t>
      </w:r>
    </w:p>
    <w:p>
      <w:pPr>
        <w:spacing w:after="120"/>
      </w:pPr>
      <w:r>
        <w:rPr>
          <w:rFonts w:ascii="Arial" w:hAnsi="Arial"/>
          <w:b w:val="0"/>
          <w:i w:val="0"/>
          <w:sz w:val="20"/>
        </w:rPr>
        <w:t>Differentiating and setting to zero:</w:t>
      </w:r>
    </w:p>
    <w:p>
      <w:pPr>
        <w:spacing w:before="80" w:after="160"/>
        <w:ind w:left="432"/>
      </w:pPr>
      <w:r>
        <w:rPr>
          <w:rFonts w:ascii="Consolas" w:hAnsi="Consolas"/>
          <w:b/>
          <w:sz w:val="19"/>
        </w:rPr>
        <w:t>dE/dV  =  [(c₀ + c₃V³) − V·(3c₃V²)] / (c₀ + c₃V³)²  =  0</w:t>
      </w:r>
    </w:p>
    <w:p>
      <w:pPr>
        <w:spacing w:before="80" w:after="160"/>
        <w:ind w:left="432"/>
      </w:pPr>
      <w:r>
        <w:rPr>
          <w:rFonts w:ascii="Consolas" w:hAnsi="Consolas"/>
          <w:b/>
          <w:sz w:val="19"/>
        </w:rPr>
        <w:t>⟹  c₀ − 2c₃V³  =  0      ⟹      V_opt  =  ( c₀ / 2c₃ )^(1/3)</w:t>
      </w:r>
    </w:p>
    <w:p>
      <w:pPr>
        <w:spacing w:before="80" w:after="40"/>
        <w:ind w:left="432"/>
      </w:pPr>
      <w:r>
        <w:rPr>
          <w:rFonts w:ascii="Consolas" w:hAnsi="Consolas"/>
          <w:b/>
          <w:sz w:val="19"/>
        </w:rPr>
        <w:t>V_opt  =  ( 0.67657 / (2 × 0.0078696) )^(1/3)  =  3.503 kt</w:t>
      </w:r>
    </w:p>
    <w:p>
      <w:pPr>
        <w:spacing w:after="160"/>
        <w:ind w:left="432"/>
      </w:pPr>
      <w:r>
        <w:rPr>
          <w:rFonts w:ascii="Arial" w:hAnsi="Arial"/>
          <w:i/>
          <w:color w:val="5B6B7A"/>
          <w:sz w:val="17"/>
        </w:rPr>
        <w:t>E(V_opt)  =  3.452 NM/L</w:t>
      </w:r>
    </w:p>
    <w:p>
      <w:pPr>
        <w:spacing w:after="120"/>
      </w:pPr>
      <w:r>
        <w:rPr>
          <w:rFonts w:ascii="Arial" w:hAnsi="Arial"/>
          <w:b w:val="0"/>
          <w:i w:val="0"/>
          <w:sz w:val="20"/>
        </w:rPr>
        <w:t>A caution attaches to this. The slowest run in the fit window was 3.110 kt, so 3.503 kt sits inside the data but the peak's left-hand shoulder does not — the curve there is carried by the model, not by measurement. The best measured point is 3.168 NM/L at 4.276 kt. Both say the same operationally useful thing: the efficient speed is near 4 kt, not 8.</w:t>
      </w:r>
    </w:p>
    <w:p>
      <w:pPr>
        <w:jc w:val="center"/>
      </w:pPr>
      <w:r>
        <w:drawing>
          <wp:inline xmlns:a="http://schemas.openxmlformats.org/drawingml/2006/main" xmlns:pic="http://schemas.openxmlformats.org/drawingml/2006/picture">
            <wp:extent cx="5669280" cy="3504738"/>
            <wp:docPr id="4" name="Picture 4"/>
            <wp:cNvGraphicFramePr>
              <a:graphicFrameLocks noChangeAspect="1"/>
            </wp:cNvGraphicFramePr>
            <a:graphic>
              <a:graphicData uri="http://schemas.openxmlformats.org/drawingml/2006/picture">
                <pic:pic>
                  <pic:nvPicPr>
                    <pic:cNvPr id="0" name="fig04_efficiency.png"/>
                    <pic:cNvPicPr/>
                  </pic:nvPicPr>
                  <pic:blipFill>
                    <a:blip r:embed="rId12"/>
                    <a:stretch>
                      <a:fillRect/>
                    </a:stretch>
                  </pic:blipFill>
                  <pic:spPr>
                    <a:xfrm>
                      <a:off x="0" y="0"/>
                      <a:ext cx="5669280" cy="3504738"/>
                    </a:xfrm>
                    <a:prstGeom prst="rect"/>
                  </pic:spPr>
                </pic:pic>
              </a:graphicData>
            </a:graphic>
          </wp:inline>
        </w:drawing>
      </w:r>
    </w:p>
    <w:p>
      <w:pPr>
        <w:spacing w:after="240"/>
        <w:jc w:val="center"/>
      </w:pPr>
      <w:r>
        <w:rPr>
          <w:rFonts w:ascii="Arial" w:hAnsi="Arial"/>
          <w:b w:val="0"/>
          <w:i/>
          <w:color w:val="5B6B7A"/>
          <w:sz w:val="17"/>
        </w:rPr>
        <w:t>Figure 4 — The efficiency curve, with the model optimum, the best measured run, and the standard survey speed marked.</w:t>
      </w:r>
    </w:p>
    <w:p>
      <w:pPr>
        <w:pStyle w:val="Heading2"/>
      </w:pPr>
      <w:r>
        <w:t>4.3  The cost of eight knots</w:t>
      </w:r>
    </w:p>
    <w:p>
      <w:pPr>
        <w:spacing w:before="80" w:after="40"/>
        <w:ind w:left="432"/>
      </w:pPr>
      <w:r>
        <w:rPr>
          <w:rFonts w:ascii="Consolas" w:hAnsi="Consolas"/>
          <w:b/>
          <w:sz w:val="19"/>
        </w:rPr>
        <w:t>E(8)  =  8 / (0.67657 + 0.0078696 × 512)  =  1.700 NM/L</w:t>
      </w:r>
    </w:p>
    <w:p>
      <w:pPr>
        <w:spacing w:after="160"/>
        <w:ind w:left="432"/>
      </w:pPr>
      <w:r>
        <w:rPr>
          <w:rFonts w:ascii="Arial" w:hAnsi="Arial"/>
          <w:i/>
          <w:color w:val="5B6B7A"/>
          <w:sz w:val="17"/>
        </w:rPr>
        <w:t>Ratio to best measured  =  3.168 / 1.700  =  1.86 ×</w:t>
      </w:r>
    </w:p>
    <w:p>
      <w:pPr>
        <w:spacing w:after="120"/>
      </w:pPr>
      <w:r>
        <w:rPr>
          <w:rFonts w:ascii="Arial" w:hAnsi="Arial"/>
          <w:b w:val="0"/>
          <w:i w:val="0"/>
          <w:sz w:val="20"/>
        </w:rPr>
        <w:t>So surveying at 8 kt on the EM712 curve costs about 1.9 times the fuel per nautical mile that the same vehicle would use at 4.3 kt, in exchange for covering the ground in a little over half the time. Whether that is a good trade depends entirely on which constraint binds — and §8.1 shows that in the one costed model available, it is time, overwhelmingly.</w:t>
      </w:r>
    </w:p>
    <w:tbl>
      <w:tblPr>
        <w:tblW w:type="auto" w:w="0"/>
        <w:jc w:val="center"/>
        <w:tblLook w:firstColumn="1" w:firstRow="1" w:lastColumn="0" w:lastRow="0" w:noHBand="0" w:noVBand="1" w:val="04A0"/>
      </w:tblPr>
      <w:tblGrid>
        <w:gridCol w:w="9360"/>
      </w:tblGrid>
      <w:tr>
        <w:trPr>
          <w:cantSplit/>
        </w:trPr>
        <w:tc>
          <w:tcPr>
            <w:tcW w:type="dxa" w:w="9072"/>
            <w:shd w:val="clear" w:color="auto" w:fill="FDF3E0"/>
          </w:tcPr>
          <w:p>
            <w:pPr>
              <w:spacing w:after="40"/>
            </w:pPr>
            <w:r/>
            <w:r>
              <w:rPr>
                <w:rFonts w:ascii="Arial" w:hAnsi="Arial"/>
                <w:b/>
                <w:color w:val="9A6400"/>
                <w:sz w:val="19"/>
              </w:rPr>
              <w:t>An extrapolation warning that applies to the EM712 only</w:t>
            </w:r>
          </w:p>
          <w:p>
            <w:pPr>
              <w:spacing w:after="40"/>
            </w:pPr>
            <w:r>
              <w:rPr>
                <w:rFonts w:ascii="Arial" w:hAnsi="Arial"/>
                <w:sz w:val="18"/>
              </w:rPr>
              <w:t>Eight knots requires (8 − 1.1348) / 0.00262408 ≈ 2616 rpm on the EM712 speed law, against a 2500 rpm fit ceiling — an extrapolation of about 5%. The EM2040 fitted today needs only 2158 rpm against a 3080 rpm ceiling, so survey planning on the current gondola is interpolation.</w:t>
            </w:r>
          </w:p>
        </w:tc>
      </w:tr>
    </w:tbl>
    <w:p>
      <w:pPr>
        <w:spacing w:after="120"/>
      </w:pPr>
    </w:p>
    <w:p>
      <w:pPr>
        <w:pStyle w:val="Heading2"/>
      </w:pPr>
      <w:r>
        <w:t>4.4  Range and endurance</w:t>
      </w:r>
    </w:p>
    <w:p>
      <w:pPr>
        <w:spacing w:after="120"/>
      </w:pPr>
      <w:r>
        <w:rPr>
          <w:rFonts w:ascii="Arial" w:hAnsi="Arial"/>
          <w:b w:val="0"/>
          <w:i w:val="0"/>
          <w:sz w:val="20"/>
        </w:rPr>
        <w:t>Range is capacity multiplied by efficiency; endurance is capacity divided by fuel rate. Both scale linearly with usable fuel, which is exactly why §6 spends so long on establishing it — and why §8.2 ends up not needing a capacity at all.</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val="clear" w:color="auto" w:fill="1F3B60"/>
          </w:tcPr>
          <w:p>
            <w:pPr>
              <w:spacing w:after="40"/>
            </w:pPr>
            <w:r/>
            <w:r>
              <w:rPr>
                <w:rFonts w:ascii="Arial" w:hAnsi="Arial"/>
                <w:b/>
                <w:color w:val="FFFFFF"/>
                <w:sz w:val="17"/>
              </w:rPr>
              <w:t>Speed</w:t>
            </w:r>
          </w:p>
        </w:tc>
        <w:tc>
          <w:tcPr>
            <w:tcW w:type="dxa" w:w="1584"/>
            <w:shd w:val="clear" w:color="auto" w:fill="1F3B60"/>
          </w:tcPr>
          <w:p>
            <w:pPr>
              <w:spacing w:after="40"/>
              <w:jc w:val="right"/>
            </w:pPr>
            <w:r/>
            <w:r>
              <w:rPr>
                <w:rFonts w:ascii="Arial" w:hAnsi="Arial"/>
                <w:b/>
                <w:color w:val="FFFFFF"/>
                <w:sz w:val="17"/>
              </w:rPr>
              <w:t>Fuel rate</w:t>
            </w:r>
          </w:p>
        </w:tc>
        <w:tc>
          <w:tcPr>
            <w:tcW w:type="dxa" w:w="1584"/>
            <w:shd w:val="clear" w:color="auto" w:fill="1F3B60"/>
          </w:tcPr>
          <w:p>
            <w:pPr>
              <w:spacing w:after="40"/>
              <w:jc w:val="right"/>
            </w:pPr>
            <w:r/>
            <w:r>
              <w:rPr>
                <w:rFonts w:ascii="Arial" w:hAnsi="Arial"/>
                <w:b/>
                <w:color w:val="FFFFFF"/>
                <w:sz w:val="17"/>
              </w:rPr>
              <w:t>Efficiency</w:t>
            </w:r>
          </w:p>
        </w:tc>
        <w:tc>
          <w:tcPr>
            <w:tcW w:type="dxa" w:w="1944"/>
            <w:shd w:val="clear" w:color="auto" w:fill="1F3B60"/>
          </w:tcPr>
          <w:p>
            <w:pPr>
              <w:spacing w:after="40"/>
              <w:jc w:val="right"/>
            </w:pPr>
            <w:r/>
            <w:r>
              <w:rPr>
                <w:rFonts w:ascii="Arial" w:hAnsi="Arial"/>
                <w:b/>
                <w:color w:val="FFFFFF"/>
                <w:sz w:val="17"/>
              </w:rPr>
              <w:t>Range at 250 L</w:t>
            </w:r>
          </w:p>
        </w:tc>
        <w:tc>
          <w:tcPr>
            <w:tcW w:type="dxa" w:w="2232"/>
            <w:shd w:val="clear" w:color="auto" w:fill="1F3B60"/>
          </w:tcPr>
          <w:p>
            <w:pPr>
              <w:spacing w:after="40"/>
              <w:jc w:val="right"/>
            </w:pPr>
            <w:r/>
            <w:r>
              <w:rPr>
                <w:rFonts w:ascii="Arial" w:hAnsi="Arial"/>
                <w:b/>
                <w:color w:val="FFFFFF"/>
                <w:sz w:val="17"/>
              </w:rPr>
              <w:t>Endurance at 250 L</w:t>
            </w:r>
          </w:p>
        </w:tc>
      </w:tr>
      <w:tr>
        <w:tc>
          <w:tcPr>
            <w:tcW w:type="dxa" w:w="1584"/>
          </w:tcPr>
          <w:p>
            <w:pPr>
              <w:spacing w:after="40"/>
            </w:pPr>
            <w:r/>
            <w:r>
              <w:rPr>
                <w:rFonts w:ascii="Arial" w:hAnsi="Arial"/>
                <w:sz w:val="17"/>
              </w:rPr>
              <w:t>3.50 kt</w:t>
            </w:r>
          </w:p>
        </w:tc>
        <w:tc>
          <w:tcPr>
            <w:tcW w:type="dxa" w:w="1584"/>
          </w:tcPr>
          <w:p>
            <w:pPr>
              <w:spacing w:after="40"/>
              <w:jc w:val="right"/>
            </w:pPr>
            <w:r/>
            <w:r>
              <w:rPr>
                <w:rFonts w:ascii="Arial" w:hAnsi="Arial"/>
                <w:sz w:val="17"/>
              </w:rPr>
              <w:t>1.015 L/h</w:t>
            </w:r>
          </w:p>
        </w:tc>
        <w:tc>
          <w:tcPr>
            <w:tcW w:type="dxa" w:w="1584"/>
          </w:tcPr>
          <w:p>
            <w:pPr>
              <w:spacing w:after="40"/>
              <w:jc w:val="right"/>
            </w:pPr>
            <w:r/>
            <w:r>
              <w:rPr>
                <w:rFonts w:ascii="Arial" w:hAnsi="Arial"/>
                <w:sz w:val="17"/>
              </w:rPr>
              <w:t>3.45 NM/L</w:t>
            </w:r>
          </w:p>
        </w:tc>
        <w:tc>
          <w:tcPr>
            <w:tcW w:type="dxa" w:w="1944"/>
          </w:tcPr>
          <w:p>
            <w:pPr>
              <w:spacing w:after="40"/>
              <w:jc w:val="right"/>
            </w:pPr>
            <w:r/>
            <w:r>
              <w:rPr>
                <w:rFonts w:ascii="Arial" w:hAnsi="Arial"/>
                <w:sz w:val="17"/>
              </w:rPr>
              <w:t>863 NM</w:t>
            </w:r>
          </w:p>
        </w:tc>
        <w:tc>
          <w:tcPr>
            <w:tcW w:type="dxa" w:w="2232"/>
          </w:tcPr>
          <w:p>
            <w:pPr>
              <w:spacing w:after="40"/>
              <w:jc w:val="right"/>
            </w:pPr>
            <w:r/>
            <w:r>
              <w:rPr>
                <w:rFonts w:ascii="Arial" w:hAnsi="Arial"/>
                <w:sz w:val="17"/>
              </w:rPr>
              <w:t>246 h</w:t>
            </w:r>
          </w:p>
        </w:tc>
      </w:tr>
      <w:tr>
        <w:tc>
          <w:tcPr>
            <w:tcW w:type="dxa" w:w="1584"/>
            <w:shd w:val="clear" w:color="auto" w:fill="F2F5F8"/>
          </w:tcPr>
          <w:p>
            <w:pPr>
              <w:spacing w:after="40"/>
            </w:pPr>
            <w:r/>
            <w:r>
              <w:rPr>
                <w:rFonts w:ascii="Arial" w:hAnsi="Arial"/>
                <w:sz w:val="17"/>
              </w:rPr>
              <w:t>4.28 kt</w:t>
            </w:r>
          </w:p>
        </w:tc>
        <w:tc>
          <w:tcPr>
            <w:tcW w:type="dxa" w:w="1584"/>
            <w:shd w:val="clear" w:color="auto" w:fill="F2F5F8"/>
          </w:tcPr>
          <w:p>
            <w:pPr>
              <w:spacing w:after="40"/>
              <w:jc w:val="right"/>
            </w:pPr>
            <w:r/>
            <w:r>
              <w:rPr>
                <w:rFonts w:ascii="Arial" w:hAnsi="Arial"/>
                <w:sz w:val="17"/>
              </w:rPr>
              <w:t>1.292 L/h</w:t>
            </w:r>
          </w:p>
        </w:tc>
        <w:tc>
          <w:tcPr>
            <w:tcW w:type="dxa" w:w="1584"/>
            <w:shd w:val="clear" w:color="auto" w:fill="F2F5F8"/>
          </w:tcPr>
          <w:p>
            <w:pPr>
              <w:spacing w:after="40"/>
              <w:jc w:val="right"/>
            </w:pPr>
            <w:r/>
            <w:r>
              <w:rPr>
                <w:rFonts w:ascii="Arial" w:hAnsi="Arial"/>
                <w:sz w:val="17"/>
              </w:rPr>
              <w:t>3.31 NM/L</w:t>
            </w:r>
          </w:p>
        </w:tc>
        <w:tc>
          <w:tcPr>
            <w:tcW w:type="dxa" w:w="1944"/>
            <w:shd w:val="clear" w:color="auto" w:fill="F2F5F8"/>
          </w:tcPr>
          <w:p>
            <w:pPr>
              <w:spacing w:after="40"/>
              <w:jc w:val="right"/>
            </w:pPr>
            <w:r/>
            <w:r>
              <w:rPr>
                <w:rFonts w:ascii="Arial" w:hAnsi="Arial"/>
                <w:sz w:val="17"/>
              </w:rPr>
              <w:t>827 NM</w:t>
            </w:r>
          </w:p>
        </w:tc>
        <w:tc>
          <w:tcPr>
            <w:tcW w:type="dxa" w:w="2232"/>
            <w:shd w:val="clear" w:color="auto" w:fill="F2F5F8"/>
          </w:tcPr>
          <w:p>
            <w:pPr>
              <w:spacing w:after="40"/>
              <w:jc w:val="right"/>
            </w:pPr>
            <w:r/>
            <w:r>
              <w:rPr>
                <w:rFonts w:ascii="Arial" w:hAnsi="Arial"/>
                <w:sz w:val="17"/>
              </w:rPr>
              <w:t>193 h</w:t>
            </w:r>
          </w:p>
        </w:tc>
      </w:tr>
      <w:tr>
        <w:tc>
          <w:tcPr>
            <w:tcW w:type="dxa" w:w="1584"/>
          </w:tcPr>
          <w:p>
            <w:pPr>
              <w:spacing w:after="40"/>
            </w:pPr>
            <w:r/>
            <w:r>
              <w:rPr>
                <w:rFonts w:ascii="Arial" w:hAnsi="Arial"/>
                <w:sz w:val="17"/>
              </w:rPr>
              <w:t>6.00 kt</w:t>
            </w:r>
          </w:p>
        </w:tc>
        <w:tc>
          <w:tcPr>
            <w:tcW w:type="dxa" w:w="1584"/>
          </w:tcPr>
          <w:p>
            <w:pPr>
              <w:spacing w:after="40"/>
              <w:jc w:val="right"/>
            </w:pPr>
            <w:r/>
            <w:r>
              <w:rPr>
                <w:rFonts w:ascii="Arial" w:hAnsi="Arial"/>
                <w:sz w:val="17"/>
              </w:rPr>
              <w:t>2.376 L/h</w:t>
            </w:r>
          </w:p>
        </w:tc>
        <w:tc>
          <w:tcPr>
            <w:tcW w:type="dxa" w:w="1584"/>
          </w:tcPr>
          <w:p>
            <w:pPr>
              <w:spacing w:after="40"/>
              <w:jc w:val="right"/>
            </w:pPr>
            <w:r/>
            <w:r>
              <w:rPr>
                <w:rFonts w:ascii="Arial" w:hAnsi="Arial"/>
                <w:sz w:val="17"/>
              </w:rPr>
              <w:t>2.52 NM/L</w:t>
            </w:r>
          </w:p>
        </w:tc>
        <w:tc>
          <w:tcPr>
            <w:tcW w:type="dxa" w:w="1944"/>
          </w:tcPr>
          <w:p>
            <w:pPr>
              <w:spacing w:after="40"/>
              <w:jc w:val="right"/>
            </w:pPr>
            <w:r/>
            <w:r>
              <w:rPr>
                <w:rFonts w:ascii="Arial" w:hAnsi="Arial"/>
                <w:sz w:val="17"/>
              </w:rPr>
              <w:t>631 NM</w:t>
            </w:r>
          </w:p>
        </w:tc>
        <w:tc>
          <w:tcPr>
            <w:tcW w:type="dxa" w:w="2232"/>
          </w:tcPr>
          <w:p>
            <w:pPr>
              <w:spacing w:after="40"/>
              <w:jc w:val="right"/>
            </w:pPr>
            <w:r/>
            <w:r>
              <w:rPr>
                <w:rFonts w:ascii="Arial" w:hAnsi="Arial"/>
                <w:sz w:val="17"/>
              </w:rPr>
              <w:t>105 h</w:t>
            </w:r>
          </w:p>
        </w:tc>
      </w:tr>
      <w:tr>
        <w:tc>
          <w:tcPr>
            <w:tcW w:type="dxa" w:w="1584"/>
            <w:shd w:val="clear" w:color="auto" w:fill="F2F5F8"/>
          </w:tcPr>
          <w:p>
            <w:pPr>
              <w:spacing w:after="40"/>
            </w:pPr>
            <w:r/>
            <w:r>
              <w:rPr>
                <w:rFonts w:ascii="Arial" w:hAnsi="Arial"/>
                <w:sz w:val="17"/>
              </w:rPr>
              <w:t>7.00 kt</w:t>
            </w:r>
          </w:p>
        </w:tc>
        <w:tc>
          <w:tcPr>
            <w:tcW w:type="dxa" w:w="1584"/>
            <w:shd w:val="clear" w:color="auto" w:fill="F2F5F8"/>
          </w:tcPr>
          <w:p>
            <w:pPr>
              <w:spacing w:after="40"/>
              <w:jc w:val="right"/>
            </w:pPr>
            <w:r/>
            <w:r>
              <w:rPr>
                <w:rFonts w:ascii="Arial" w:hAnsi="Arial"/>
                <w:sz w:val="17"/>
              </w:rPr>
              <w:t>3.376 L/h</w:t>
            </w:r>
          </w:p>
        </w:tc>
        <w:tc>
          <w:tcPr>
            <w:tcW w:type="dxa" w:w="1584"/>
            <w:shd w:val="clear" w:color="auto" w:fill="F2F5F8"/>
          </w:tcPr>
          <w:p>
            <w:pPr>
              <w:spacing w:after="40"/>
              <w:jc w:val="right"/>
            </w:pPr>
            <w:r/>
            <w:r>
              <w:rPr>
                <w:rFonts w:ascii="Arial" w:hAnsi="Arial"/>
                <w:sz w:val="17"/>
              </w:rPr>
              <w:t>2.07 NM/L</w:t>
            </w:r>
          </w:p>
        </w:tc>
        <w:tc>
          <w:tcPr>
            <w:tcW w:type="dxa" w:w="1944"/>
            <w:shd w:val="clear" w:color="auto" w:fill="F2F5F8"/>
          </w:tcPr>
          <w:p>
            <w:pPr>
              <w:spacing w:after="40"/>
              <w:jc w:val="right"/>
            </w:pPr>
            <w:r/>
            <w:r>
              <w:rPr>
                <w:rFonts w:ascii="Arial" w:hAnsi="Arial"/>
                <w:sz w:val="17"/>
              </w:rPr>
              <w:t>518 NM</w:t>
            </w:r>
          </w:p>
        </w:tc>
        <w:tc>
          <w:tcPr>
            <w:tcW w:type="dxa" w:w="2232"/>
            <w:shd w:val="clear" w:color="auto" w:fill="F2F5F8"/>
          </w:tcPr>
          <w:p>
            <w:pPr>
              <w:spacing w:after="40"/>
              <w:jc w:val="right"/>
            </w:pPr>
            <w:r/>
            <w:r>
              <w:rPr>
                <w:rFonts w:ascii="Arial" w:hAnsi="Arial"/>
                <w:sz w:val="17"/>
              </w:rPr>
              <w:t>74 h</w:t>
            </w:r>
          </w:p>
        </w:tc>
      </w:tr>
      <w:tr>
        <w:tc>
          <w:tcPr>
            <w:tcW w:type="dxa" w:w="1584"/>
          </w:tcPr>
          <w:p>
            <w:pPr>
              <w:spacing w:after="40"/>
            </w:pPr>
            <w:r/>
            <w:r>
              <w:rPr>
                <w:rFonts w:ascii="Arial" w:hAnsi="Arial"/>
                <w:sz w:val="17"/>
              </w:rPr>
              <w:t>8.00 kt</w:t>
            </w:r>
          </w:p>
        </w:tc>
        <w:tc>
          <w:tcPr>
            <w:tcW w:type="dxa" w:w="1584"/>
          </w:tcPr>
          <w:p>
            <w:pPr>
              <w:spacing w:after="40"/>
              <w:jc w:val="right"/>
            </w:pPr>
            <w:r/>
            <w:r>
              <w:rPr>
                <w:rFonts w:ascii="Arial" w:hAnsi="Arial"/>
                <w:sz w:val="17"/>
              </w:rPr>
              <w:t>4.706 L/h</w:t>
            </w:r>
          </w:p>
        </w:tc>
        <w:tc>
          <w:tcPr>
            <w:tcW w:type="dxa" w:w="1584"/>
          </w:tcPr>
          <w:p>
            <w:pPr>
              <w:spacing w:after="40"/>
              <w:jc w:val="right"/>
            </w:pPr>
            <w:r/>
            <w:r>
              <w:rPr>
                <w:rFonts w:ascii="Arial" w:hAnsi="Arial"/>
                <w:sz w:val="17"/>
              </w:rPr>
              <w:t>1.70 NM/L</w:t>
            </w:r>
          </w:p>
        </w:tc>
        <w:tc>
          <w:tcPr>
            <w:tcW w:type="dxa" w:w="1944"/>
          </w:tcPr>
          <w:p>
            <w:pPr>
              <w:spacing w:after="40"/>
              <w:jc w:val="right"/>
            </w:pPr>
            <w:r/>
            <w:r>
              <w:rPr>
                <w:rFonts w:ascii="Arial" w:hAnsi="Arial"/>
                <w:sz w:val="17"/>
              </w:rPr>
              <w:t>425 NM</w:t>
            </w:r>
          </w:p>
        </w:tc>
        <w:tc>
          <w:tcPr>
            <w:tcW w:type="dxa" w:w="2232"/>
          </w:tcPr>
          <w:p>
            <w:pPr>
              <w:spacing w:after="40"/>
              <w:jc w:val="right"/>
            </w:pPr>
            <w:r/>
            <w:r>
              <w:rPr>
                <w:rFonts w:ascii="Arial" w:hAnsi="Arial"/>
                <w:sz w:val="17"/>
              </w:rPr>
              <w:t>53 h</w:t>
            </w:r>
          </w:p>
        </w:tc>
      </w:tr>
    </w:tbl>
    <w:p>
      <w:pPr>
        <w:spacing w:after="200"/>
      </w:pPr>
      <w:r>
        <w:rPr>
          <w:rFonts w:ascii="Arial" w:hAnsi="Arial"/>
          <w:b w:val="0"/>
          <w:i/>
          <w:color w:val="5B6B7A"/>
          <w:sz w:val="16"/>
        </w:rPr>
        <w:t>Table 5 — Range and endurance to a DRY tank on the EM712 cubic model, at the nominal capacity. §8 repeats this to the reserve floor on the gondola actually fitted, which is the number to plan against.</w:t>
      </w:r>
    </w:p>
    <w:p>
      <w:pPr>
        <w:pStyle w:val="Heading1"/>
      </w:pPr>
      <w:r>
        <w:t>5.  Variation between the EM2040 and EM712 gondola configurations</w:t>
      </w:r>
    </w:p>
    <w:p>
      <w:pPr>
        <w:spacing w:after="120"/>
      </w:pPr>
      <w:r>
        <w:rPr>
          <w:rFonts w:ascii="Arial" w:hAnsi="Arial"/>
          <w:b w:val="0"/>
          <w:i w:val="0"/>
          <w:sz w:val="20"/>
        </w:rPr>
        <w:t>The 2022/2024 difference is the gondola, on the same hull: the 2022 shakedown data is DriX-8 with the EM2040 gondola, and the 2024 trials the same vehicle with the much larger and heavier EM712 — the "experimental upgrade that drastically increased drag" of the CS850 report, now named. The EM2040 is the gondola fitted today.</w:t>
      </w:r>
    </w:p>
    <w:p>
      <w:pPr>
        <w:spacing w:after="120"/>
      </w:pPr>
      <w:r>
        <w:rPr>
          <w:rFonts w:ascii="Arial" w:hAnsi="Arial"/>
          <w:b w:val="0"/>
          <w:i w:val="0"/>
          <w:sz w:val="20"/>
        </w:rPr>
        <w:t>No fuel rate of any kind was recorded in 2022. The comparison must therefore run through speed at equal RPM, which is legitimate precisely because fuel is set by RPM (§3). §5.5 adds the direct EM2040 measurement that later confirmed the chain.</w:t>
      </w:r>
    </w:p>
    <w:p>
      <w:pPr>
        <w:pStyle w:val="Heading2"/>
      </w:pPr>
      <w:r>
        <w:t>5.1  Speed against RPM</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44"/>
            <w:shd w:val="clear" w:color="auto" w:fill="1F3B60"/>
          </w:tcPr>
          <w:p>
            <w:pPr>
              <w:spacing w:after="40"/>
            </w:pPr>
            <w:r/>
            <w:r>
              <w:rPr>
                <w:rFonts w:ascii="Arial" w:hAnsi="Arial"/>
                <w:b/>
                <w:color w:val="FFFFFF"/>
                <w:sz w:val="17"/>
              </w:rPr>
              <w:t>Configuration</w:t>
            </w:r>
          </w:p>
        </w:tc>
        <w:tc>
          <w:tcPr>
            <w:tcW w:type="dxa" w:w="3384"/>
            <w:shd w:val="clear" w:color="auto" w:fill="1F3B60"/>
          </w:tcPr>
          <w:p>
            <w:pPr>
              <w:spacing w:after="40"/>
            </w:pPr>
            <w:r/>
            <w:r>
              <w:rPr>
                <w:rFonts w:ascii="Arial" w:hAnsi="Arial"/>
                <w:b/>
                <w:color w:val="FFFFFF"/>
                <w:sz w:val="17"/>
              </w:rPr>
              <w:t>Fitted relationship</w:t>
            </w:r>
          </w:p>
        </w:tc>
        <w:tc>
          <w:tcPr>
            <w:tcW w:type="dxa" w:w="1008"/>
            <w:shd w:val="clear" w:color="auto" w:fill="1F3B60"/>
          </w:tcPr>
          <w:p>
            <w:pPr>
              <w:spacing w:after="40"/>
              <w:jc w:val="right"/>
            </w:pPr>
            <w:r/>
            <w:r>
              <w:rPr>
                <w:rFonts w:ascii="Arial" w:hAnsi="Arial"/>
                <w:b/>
                <w:color w:val="FFFFFF"/>
                <w:sz w:val="17"/>
              </w:rPr>
              <w:t>R²</w:t>
            </w:r>
          </w:p>
        </w:tc>
        <w:tc>
          <w:tcPr>
            <w:tcW w:type="dxa" w:w="576"/>
            <w:shd w:val="clear" w:color="auto" w:fill="1F3B60"/>
          </w:tcPr>
          <w:p>
            <w:pPr>
              <w:spacing w:after="40"/>
              <w:jc w:val="right"/>
            </w:pPr>
            <w:r/>
            <w:r>
              <w:rPr>
                <w:rFonts w:ascii="Arial" w:hAnsi="Arial"/>
                <w:b/>
                <w:color w:val="FFFFFF"/>
                <w:sz w:val="17"/>
              </w:rPr>
              <w:t>n</w:t>
            </w:r>
          </w:p>
        </w:tc>
        <w:tc>
          <w:tcPr>
            <w:tcW w:type="dxa" w:w="1872"/>
            <w:shd w:val="clear" w:color="auto" w:fill="1F3B60"/>
          </w:tcPr>
          <w:p>
            <w:pPr>
              <w:spacing w:after="40"/>
              <w:jc w:val="right"/>
            </w:pPr>
            <w:r/>
            <w:r>
              <w:rPr>
                <w:rFonts w:ascii="Arial" w:hAnsi="Arial"/>
                <w:b/>
                <w:color w:val="FFFFFF"/>
                <w:sz w:val="17"/>
              </w:rPr>
              <w:t>Span</w:t>
            </w:r>
          </w:p>
        </w:tc>
      </w:tr>
      <w:tr>
        <w:tc>
          <w:tcPr>
            <w:tcW w:type="dxa" w:w="1944"/>
          </w:tcPr>
          <w:p>
            <w:pPr>
              <w:spacing w:after="40"/>
            </w:pPr>
            <w:r/>
            <w:r>
              <w:rPr>
                <w:rFonts w:ascii="Arial" w:hAnsi="Arial"/>
                <w:sz w:val="17"/>
              </w:rPr>
              <w:t>2022 shakedown</w:t>
            </w:r>
          </w:p>
        </w:tc>
        <w:tc>
          <w:tcPr>
            <w:tcW w:type="dxa" w:w="3384"/>
          </w:tcPr>
          <w:p>
            <w:pPr>
              <w:spacing w:after="40"/>
            </w:pPr>
            <w:r/>
            <w:r>
              <w:rPr>
                <w:rFonts w:ascii="Arial" w:hAnsi="Arial"/>
                <w:sz w:val="17"/>
              </w:rPr>
              <w:t>kt = -0.0434 + 0.0040333·RPM</w:t>
            </w:r>
          </w:p>
        </w:tc>
        <w:tc>
          <w:tcPr>
            <w:tcW w:type="dxa" w:w="1008"/>
          </w:tcPr>
          <w:p>
            <w:pPr>
              <w:spacing w:after="40"/>
              <w:jc w:val="right"/>
            </w:pPr>
            <w:r/>
            <w:r>
              <w:rPr>
                <w:rFonts w:ascii="Arial" w:hAnsi="Arial"/>
                <w:sz w:val="17"/>
              </w:rPr>
              <w:t>0.9907</w:t>
            </w:r>
          </w:p>
        </w:tc>
        <w:tc>
          <w:tcPr>
            <w:tcW w:type="dxa" w:w="576"/>
          </w:tcPr>
          <w:p>
            <w:pPr>
              <w:spacing w:after="40"/>
              <w:jc w:val="right"/>
            </w:pPr>
            <w:r/>
            <w:r>
              <w:rPr>
                <w:rFonts w:ascii="Arial" w:hAnsi="Arial"/>
                <w:sz w:val="17"/>
              </w:rPr>
              <w:t>7</w:t>
            </w:r>
          </w:p>
        </w:tc>
        <w:tc>
          <w:tcPr>
            <w:tcW w:type="dxa" w:w="1872"/>
          </w:tcPr>
          <w:p>
            <w:pPr>
              <w:spacing w:after="40"/>
              <w:jc w:val="right"/>
            </w:pPr>
            <w:r/>
            <w:r>
              <w:rPr>
                <w:rFonts w:ascii="Arial" w:hAnsi="Arial"/>
                <w:sz w:val="17"/>
              </w:rPr>
              <w:t>1050–2765 rpm</w:t>
            </w:r>
          </w:p>
        </w:tc>
      </w:tr>
      <w:tr>
        <w:tc>
          <w:tcPr>
            <w:tcW w:type="dxa" w:w="1944"/>
            <w:shd w:val="clear" w:color="auto" w:fill="F2F5F8"/>
          </w:tcPr>
          <w:p>
            <w:pPr>
              <w:spacing w:after="40"/>
            </w:pPr>
            <w:r/>
            <w:r>
              <w:rPr>
                <w:rFonts w:ascii="Arial" w:hAnsi="Arial"/>
                <w:sz w:val="17"/>
              </w:rPr>
              <w:t>2024 trials</w:t>
            </w:r>
          </w:p>
        </w:tc>
        <w:tc>
          <w:tcPr>
            <w:tcW w:type="dxa" w:w="3384"/>
            <w:shd w:val="clear" w:color="auto" w:fill="F2F5F8"/>
          </w:tcPr>
          <w:p>
            <w:pPr>
              <w:spacing w:after="40"/>
            </w:pPr>
            <w:r/>
            <w:r>
              <w:rPr>
                <w:rFonts w:ascii="Arial" w:hAnsi="Arial"/>
                <w:sz w:val="17"/>
              </w:rPr>
              <w:t>kt = +1.1348 + 0.0026241·RPM</w:t>
            </w:r>
          </w:p>
        </w:tc>
        <w:tc>
          <w:tcPr>
            <w:tcW w:type="dxa" w:w="1008"/>
            <w:shd w:val="clear" w:color="auto" w:fill="F2F5F8"/>
          </w:tcPr>
          <w:p>
            <w:pPr>
              <w:spacing w:after="40"/>
              <w:jc w:val="right"/>
            </w:pPr>
            <w:r/>
            <w:r>
              <w:rPr>
                <w:rFonts w:ascii="Arial" w:hAnsi="Arial"/>
                <w:sz w:val="17"/>
              </w:rPr>
              <w:t>0.9391</w:t>
            </w:r>
          </w:p>
        </w:tc>
        <w:tc>
          <w:tcPr>
            <w:tcW w:type="dxa" w:w="576"/>
            <w:shd w:val="clear" w:color="auto" w:fill="F2F5F8"/>
          </w:tcPr>
          <w:p>
            <w:pPr>
              <w:spacing w:after="40"/>
              <w:jc w:val="right"/>
            </w:pPr>
            <w:r/>
            <w:r>
              <w:rPr>
                <w:rFonts w:ascii="Arial" w:hAnsi="Arial"/>
                <w:sz w:val="17"/>
              </w:rPr>
              <w:t>9</w:t>
            </w:r>
          </w:p>
        </w:tc>
        <w:tc>
          <w:tcPr>
            <w:tcW w:type="dxa" w:w="1872"/>
            <w:shd w:val="clear" w:color="auto" w:fill="F2F5F8"/>
          </w:tcPr>
          <w:p>
            <w:pPr>
              <w:spacing w:after="40"/>
              <w:jc w:val="right"/>
            </w:pPr>
            <w:r/>
            <w:r>
              <w:rPr>
                <w:rFonts w:ascii="Arial" w:hAnsi="Arial"/>
                <w:sz w:val="17"/>
              </w:rPr>
              <w:t>1020–3000 rpm</w:t>
            </w:r>
          </w:p>
        </w:tc>
      </w:tr>
    </w:tbl>
    <w:p>
      <w:pPr>
        <w:spacing w:after="200"/>
      </w:pPr>
      <w:r>
        <w:rPr>
          <w:rFonts w:ascii="Arial" w:hAnsi="Arial"/>
          <w:b w:val="0"/>
          <w:i/>
          <w:color w:val="5B6B7A"/>
          <w:sz w:val="16"/>
        </w:rPr>
        <w:t>Table 6 — The two propulsion curves.</w:t>
      </w:r>
    </w:p>
    <w:p>
      <w:pPr>
        <w:spacing w:after="120"/>
      </w:pPr>
      <w:r>
        <w:rPr>
          <w:rFonts w:ascii="Arial" w:hAnsi="Arial"/>
          <w:b w:val="0"/>
          <w:i w:val="0"/>
          <w:sz w:val="20"/>
        </w:rPr>
        <w:t>Two things changed, and they are different in kind. The slope fell from 0.403 to 0.262 kt per 100 rpm — each additional 100 rpm now buys 65% of the speed it used to. And the intercept rose from -0.04 kt to +1.13 kt. A propulsion curve through the origin is what one expects; the 2022 fit passes essentially through it. The 2024 curve does not, and a raised intercept with a shallower slope is the signature of a curve that has flattened.</w:t>
      </w:r>
    </w:p>
    <w:p>
      <w:pPr>
        <w:jc w:val="center"/>
      </w:pPr>
      <w:r>
        <w:drawing>
          <wp:inline xmlns:a="http://schemas.openxmlformats.org/drawingml/2006/main" xmlns:pic="http://schemas.openxmlformats.org/drawingml/2006/picture">
            <wp:extent cx="5669280" cy="3526760"/>
            <wp:docPr id="5" name="Picture 5"/>
            <wp:cNvGraphicFramePr>
              <a:graphicFrameLocks noChangeAspect="1"/>
            </wp:cNvGraphicFramePr>
            <a:graphic>
              <a:graphicData uri="http://schemas.openxmlformats.org/drawingml/2006/picture">
                <pic:pic>
                  <pic:nvPicPr>
                    <pic:cNvPr id="0" name="fig05_speed_rpm.png"/>
                    <pic:cNvPicPr/>
                  </pic:nvPicPr>
                  <pic:blipFill>
                    <a:blip r:embed="rId13"/>
                    <a:stretch>
                      <a:fillRect/>
                    </a:stretch>
                  </pic:blipFill>
                  <pic:spPr>
                    <a:xfrm>
                      <a:off x="0" y="0"/>
                      <a:ext cx="5669280" cy="3526760"/>
                    </a:xfrm>
                    <a:prstGeom prst="rect"/>
                  </pic:spPr>
                </pic:pic>
              </a:graphicData>
            </a:graphic>
          </wp:inline>
        </w:drawing>
      </w:r>
    </w:p>
    <w:p>
      <w:pPr>
        <w:spacing w:after="240"/>
        <w:jc w:val="center"/>
      </w:pPr>
      <w:r>
        <w:rPr>
          <w:rFonts w:ascii="Arial" w:hAnsi="Arial"/>
          <w:b w:val="0"/>
          <w:i/>
          <w:color w:val="5B6B7A"/>
          <w:sz w:val="17"/>
        </w:rPr>
        <w:t>Figure 5 — Speed against RPM for both configurations, with the four-heading test means and their spread overlaid.</w:t>
      </w:r>
    </w:p>
    <w:p>
      <w:pPr>
        <w:pStyle w:val="Heading2"/>
      </w:pPr>
      <w:r>
        <w:t>5.2  Controlling for current</w:t>
      </w:r>
    </w:p>
    <w:p>
      <w:pPr>
        <w:spacing w:after="120"/>
      </w:pPr>
      <w:r>
        <w:rPr>
          <w:rFonts w:ascii="Arial" w:hAnsi="Arial"/>
          <w:b w:val="0"/>
          <w:i w:val="0"/>
          <w:sz w:val="20"/>
        </w:rPr>
        <w:t>Every point in the 2024 speed trials was run on a single heading, so tidal current is folded into the measured speed and cannot be separated. The prop-efficiency test performed the same day is the control: it held RPM fixed and ran all four cardinal headings, so the spread across headings is the environment and the mean is the vehicle.</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304"/>
            <w:shd w:val="clear" w:color="auto" w:fill="1F3B60"/>
          </w:tcPr>
          <w:p>
            <w:pPr>
              <w:spacing w:after="40"/>
            </w:pPr>
            <w:r/>
            <w:r>
              <w:rPr>
                <w:rFonts w:ascii="Arial" w:hAnsi="Arial"/>
                <w:b/>
                <w:color w:val="FFFFFF"/>
                <w:sz w:val="17"/>
              </w:rPr>
              <w:t>Test</w:t>
            </w:r>
          </w:p>
        </w:tc>
        <w:tc>
          <w:tcPr>
            <w:tcW w:type="dxa" w:w="720"/>
            <w:shd w:val="clear" w:color="auto" w:fill="1F3B60"/>
          </w:tcPr>
          <w:p>
            <w:pPr>
              <w:spacing w:after="40"/>
              <w:jc w:val="right"/>
            </w:pPr>
            <w:r/>
            <w:r>
              <w:rPr>
                <w:rFonts w:ascii="Arial" w:hAnsi="Arial"/>
                <w:b/>
                <w:color w:val="FFFFFF"/>
                <w:sz w:val="17"/>
              </w:rPr>
              <w:t>RPM</w:t>
            </w:r>
          </w:p>
        </w:tc>
        <w:tc>
          <w:tcPr>
            <w:tcW w:type="dxa" w:w="605"/>
            <w:shd w:val="clear" w:color="auto" w:fill="1F3B60"/>
          </w:tcPr>
          <w:p>
            <w:pPr>
              <w:spacing w:after="40"/>
              <w:jc w:val="right"/>
            </w:pPr>
            <w:r/>
            <w:r>
              <w:rPr>
                <w:rFonts w:ascii="Arial" w:hAnsi="Arial"/>
                <w:b/>
                <w:color w:val="FFFFFF"/>
                <w:sz w:val="17"/>
              </w:rPr>
              <w:t>N</w:t>
            </w:r>
          </w:p>
        </w:tc>
        <w:tc>
          <w:tcPr>
            <w:tcW w:type="dxa" w:w="605"/>
            <w:shd w:val="clear" w:color="auto" w:fill="1F3B60"/>
          </w:tcPr>
          <w:p>
            <w:pPr>
              <w:spacing w:after="40"/>
              <w:jc w:val="right"/>
            </w:pPr>
            <w:r/>
            <w:r>
              <w:rPr>
                <w:rFonts w:ascii="Arial" w:hAnsi="Arial"/>
                <w:b/>
                <w:color w:val="FFFFFF"/>
                <w:sz w:val="17"/>
              </w:rPr>
              <w:t>E</w:t>
            </w:r>
          </w:p>
        </w:tc>
        <w:tc>
          <w:tcPr>
            <w:tcW w:type="dxa" w:w="605"/>
            <w:shd w:val="clear" w:color="auto" w:fill="1F3B60"/>
          </w:tcPr>
          <w:p>
            <w:pPr>
              <w:spacing w:after="40"/>
              <w:jc w:val="right"/>
            </w:pPr>
            <w:r/>
            <w:r>
              <w:rPr>
                <w:rFonts w:ascii="Arial" w:hAnsi="Arial"/>
                <w:b/>
                <w:color w:val="FFFFFF"/>
                <w:sz w:val="17"/>
              </w:rPr>
              <w:t>S</w:t>
            </w:r>
          </w:p>
        </w:tc>
        <w:tc>
          <w:tcPr>
            <w:tcW w:type="dxa" w:w="605"/>
            <w:shd w:val="clear" w:color="auto" w:fill="1F3B60"/>
          </w:tcPr>
          <w:p>
            <w:pPr>
              <w:spacing w:after="40"/>
              <w:jc w:val="right"/>
            </w:pPr>
            <w:r/>
            <w:r>
              <w:rPr>
                <w:rFonts w:ascii="Arial" w:hAnsi="Arial"/>
                <w:b/>
                <w:color w:val="FFFFFF"/>
                <w:sz w:val="17"/>
              </w:rPr>
              <w:t>W</w:t>
            </w:r>
          </w:p>
        </w:tc>
        <w:tc>
          <w:tcPr>
            <w:tcW w:type="dxa" w:w="1080"/>
            <w:shd w:val="clear" w:color="auto" w:fill="1F3B60"/>
          </w:tcPr>
          <w:p>
            <w:pPr>
              <w:spacing w:after="40"/>
              <w:jc w:val="right"/>
            </w:pPr>
            <w:r/>
            <w:r>
              <w:rPr>
                <w:rFonts w:ascii="Arial" w:hAnsi="Arial"/>
                <w:b/>
                <w:color w:val="FFFFFF"/>
                <w:sz w:val="17"/>
              </w:rPr>
              <w:t>Mean (kt)</w:t>
            </w:r>
          </w:p>
        </w:tc>
        <w:tc>
          <w:tcPr>
            <w:tcW w:type="dxa" w:w="979"/>
            <w:shd w:val="clear" w:color="auto" w:fill="1F3B60"/>
          </w:tcPr>
          <w:p>
            <w:pPr>
              <w:spacing w:after="40"/>
              <w:jc w:val="right"/>
            </w:pPr>
            <w:r/>
            <w:r>
              <w:rPr>
                <w:rFonts w:ascii="Arial" w:hAnsi="Arial"/>
                <w:b/>
                <w:color w:val="FFFFFF"/>
                <w:sz w:val="17"/>
              </w:rPr>
              <w:t>Spread</w:t>
            </w:r>
          </w:p>
        </w:tc>
        <w:tc>
          <w:tcPr>
            <w:tcW w:type="dxa" w:w="979"/>
            <w:shd w:val="clear" w:color="auto" w:fill="1F3B60"/>
          </w:tcPr>
          <w:p>
            <w:pPr>
              <w:spacing w:after="40"/>
              <w:jc w:val="right"/>
            </w:pPr>
            <w:r/>
            <w:r>
              <w:rPr>
                <w:rFonts w:ascii="Arial" w:hAnsi="Arial"/>
                <w:b/>
                <w:color w:val="FFFFFF"/>
                <w:sz w:val="17"/>
              </w:rPr>
              <w:t>vs 2022</w:t>
            </w:r>
          </w:p>
        </w:tc>
      </w:tr>
      <w:tr>
        <w:tc>
          <w:tcPr>
            <w:tcW w:type="dxa" w:w="2304"/>
          </w:tcPr>
          <w:p>
            <w:pPr>
              <w:spacing w:after="40"/>
            </w:pPr>
            <w:r/>
            <w:r>
              <w:rPr>
                <w:rFonts w:ascii="Arial" w:hAnsi="Arial"/>
                <w:sz w:val="17"/>
              </w:rPr>
              <w:t>WOT, fixed RPM</w:t>
            </w:r>
          </w:p>
        </w:tc>
        <w:tc>
          <w:tcPr>
            <w:tcW w:type="dxa" w:w="720"/>
          </w:tcPr>
          <w:p>
            <w:pPr>
              <w:spacing w:after="40"/>
              <w:jc w:val="right"/>
            </w:pPr>
            <w:r/>
            <w:r>
              <w:rPr>
                <w:rFonts w:ascii="Arial" w:hAnsi="Arial"/>
                <w:sz w:val="17"/>
              </w:rPr>
              <w:t>3015</w:t>
            </w:r>
          </w:p>
        </w:tc>
        <w:tc>
          <w:tcPr>
            <w:tcW w:type="dxa" w:w="605"/>
          </w:tcPr>
          <w:p>
            <w:pPr>
              <w:spacing w:after="40"/>
              <w:jc w:val="right"/>
            </w:pPr>
            <w:r/>
            <w:r>
              <w:rPr>
                <w:rFonts w:ascii="Arial" w:hAnsi="Arial"/>
                <w:sz w:val="17"/>
              </w:rPr>
              <w:t>4.60</w:t>
            </w:r>
          </w:p>
        </w:tc>
        <w:tc>
          <w:tcPr>
            <w:tcW w:type="dxa" w:w="605"/>
          </w:tcPr>
          <w:p>
            <w:pPr>
              <w:spacing w:after="40"/>
              <w:jc w:val="right"/>
            </w:pPr>
            <w:r/>
            <w:r>
              <w:rPr>
                <w:rFonts w:ascii="Arial" w:hAnsi="Arial"/>
                <w:sz w:val="17"/>
              </w:rPr>
              <w:t>5.40</w:t>
            </w:r>
          </w:p>
        </w:tc>
        <w:tc>
          <w:tcPr>
            <w:tcW w:type="dxa" w:w="605"/>
          </w:tcPr>
          <w:p>
            <w:pPr>
              <w:spacing w:after="40"/>
              <w:jc w:val="right"/>
            </w:pPr>
            <w:r/>
            <w:r>
              <w:rPr>
                <w:rFonts w:ascii="Arial" w:hAnsi="Arial"/>
                <w:sz w:val="17"/>
              </w:rPr>
              <w:t>5.30</w:t>
            </w:r>
          </w:p>
        </w:tc>
        <w:tc>
          <w:tcPr>
            <w:tcW w:type="dxa" w:w="605"/>
          </w:tcPr>
          <w:p>
            <w:pPr>
              <w:spacing w:after="40"/>
              <w:jc w:val="right"/>
            </w:pPr>
            <w:r/>
            <w:r>
              <w:rPr>
                <w:rFonts w:ascii="Arial" w:hAnsi="Arial"/>
                <w:sz w:val="17"/>
              </w:rPr>
              <w:t>4.80</w:t>
            </w:r>
          </w:p>
        </w:tc>
        <w:tc>
          <w:tcPr>
            <w:tcW w:type="dxa" w:w="1080"/>
          </w:tcPr>
          <w:p>
            <w:pPr>
              <w:spacing w:after="40"/>
              <w:jc w:val="right"/>
            </w:pPr>
            <w:r/>
            <w:r>
              <w:rPr>
                <w:rFonts w:ascii="Arial" w:hAnsi="Arial"/>
                <w:sz w:val="17"/>
              </w:rPr>
              <w:t>9.77</w:t>
            </w:r>
          </w:p>
        </w:tc>
        <w:tc>
          <w:tcPr>
            <w:tcW w:type="dxa" w:w="979"/>
          </w:tcPr>
          <w:p>
            <w:pPr>
              <w:spacing w:after="40"/>
              <w:jc w:val="right"/>
            </w:pPr>
            <w:r/>
            <w:r>
              <w:rPr>
                <w:rFonts w:ascii="Arial" w:hAnsi="Arial"/>
                <w:sz w:val="17"/>
              </w:rPr>
              <w:t>±8.0%</w:t>
            </w:r>
          </w:p>
        </w:tc>
        <w:tc>
          <w:tcPr>
            <w:tcW w:type="dxa" w:w="979"/>
          </w:tcPr>
          <w:p>
            <w:pPr>
              <w:spacing w:after="40"/>
              <w:jc w:val="right"/>
            </w:pPr>
            <w:r/>
            <w:r>
              <w:rPr>
                <w:rFonts w:ascii="Arial" w:hAnsi="Arial"/>
                <w:sz w:val="17"/>
              </w:rPr>
              <w:t>-19.4%</w:t>
            </w:r>
          </w:p>
        </w:tc>
      </w:tr>
      <w:tr>
        <w:tc>
          <w:tcPr>
            <w:tcW w:type="dxa" w:w="2304"/>
            <w:shd w:val="clear" w:color="auto" w:fill="F2F5F8"/>
          </w:tcPr>
          <w:p>
            <w:pPr>
              <w:spacing w:after="40"/>
            </w:pPr>
            <w:r/>
            <w:r>
              <w:rPr>
                <w:rFonts w:ascii="Arial" w:hAnsi="Arial"/>
                <w:sz w:val="17"/>
              </w:rPr>
              <w:t>Request 8 kt, fixed RPM</w:t>
            </w:r>
          </w:p>
        </w:tc>
        <w:tc>
          <w:tcPr>
            <w:tcW w:type="dxa" w:w="720"/>
            <w:shd w:val="clear" w:color="auto" w:fill="F2F5F8"/>
          </w:tcPr>
          <w:p>
            <w:pPr>
              <w:spacing w:after="40"/>
              <w:jc w:val="right"/>
            </w:pPr>
            <w:r/>
            <w:r>
              <w:rPr>
                <w:rFonts w:ascii="Arial" w:hAnsi="Arial"/>
                <w:sz w:val="17"/>
              </w:rPr>
              <w:t>1928</w:t>
            </w:r>
          </w:p>
        </w:tc>
        <w:tc>
          <w:tcPr>
            <w:tcW w:type="dxa" w:w="605"/>
            <w:shd w:val="clear" w:color="auto" w:fill="F2F5F8"/>
          </w:tcPr>
          <w:p>
            <w:pPr>
              <w:spacing w:after="40"/>
              <w:jc w:val="right"/>
            </w:pPr>
            <w:r/>
            <w:r>
              <w:rPr>
                <w:rFonts w:ascii="Arial" w:hAnsi="Arial"/>
                <w:sz w:val="17"/>
              </w:rPr>
              <w:t>3.05</w:t>
            </w:r>
          </w:p>
        </w:tc>
        <w:tc>
          <w:tcPr>
            <w:tcW w:type="dxa" w:w="605"/>
            <w:shd w:val="clear" w:color="auto" w:fill="F2F5F8"/>
          </w:tcPr>
          <w:p>
            <w:pPr>
              <w:spacing w:after="40"/>
              <w:jc w:val="right"/>
            </w:pPr>
            <w:r/>
            <w:r>
              <w:rPr>
                <w:rFonts w:ascii="Arial" w:hAnsi="Arial"/>
                <w:sz w:val="17"/>
              </w:rPr>
              <w:t>3.50</w:t>
            </w:r>
          </w:p>
        </w:tc>
        <w:tc>
          <w:tcPr>
            <w:tcW w:type="dxa" w:w="605"/>
            <w:shd w:val="clear" w:color="auto" w:fill="F2F5F8"/>
          </w:tcPr>
          <w:p>
            <w:pPr>
              <w:spacing w:after="40"/>
              <w:jc w:val="right"/>
            </w:pPr>
            <w:r/>
            <w:r>
              <w:rPr>
                <w:rFonts w:ascii="Arial" w:hAnsi="Arial"/>
                <w:sz w:val="17"/>
              </w:rPr>
              <w:t>3.50</w:t>
            </w:r>
          </w:p>
        </w:tc>
        <w:tc>
          <w:tcPr>
            <w:tcW w:type="dxa" w:w="605"/>
            <w:shd w:val="clear" w:color="auto" w:fill="F2F5F8"/>
          </w:tcPr>
          <w:p>
            <w:pPr>
              <w:spacing w:after="40"/>
              <w:jc w:val="right"/>
            </w:pPr>
            <w:r/>
            <w:r>
              <w:rPr>
                <w:rFonts w:ascii="Arial" w:hAnsi="Arial"/>
                <w:sz w:val="17"/>
              </w:rPr>
              <w:t>3.15</w:t>
            </w:r>
          </w:p>
        </w:tc>
        <w:tc>
          <w:tcPr>
            <w:tcW w:type="dxa" w:w="1080"/>
            <w:shd w:val="clear" w:color="auto" w:fill="F2F5F8"/>
          </w:tcPr>
          <w:p>
            <w:pPr>
              <w:spacing w:after="40"/>
              <w:jc w:val="right"/>
            </w:pPr>
            <w:r/>
            <w:r>
              <w:rPr>
                <w:rFonts w:ascii="Arial" w:hAnsi="Arial"/>
                <w:sz w:val="17"/>
              </w:rPr>
              <w:t>6.41</w:t>
            </w:r>
          </w:p>
        </w:tc>
        <w:tc>
          <w:tcPr>
            <w:tcW w:type="dxa" w:w="979"/>
            <w:shd w:val="clear" w:color="auto" w:fill="F2F5F8"/>
          </w:tcPr>
          <w:p>
            <w:pPr>
              <w:spacing w:after="40"/>
              <w:jc w:val="right"/>
            </w:pPr>
            <w:r/>
            <w:r>
              <w:rPr>
                <w:rFonts w:ascii="Arial" w:hAnsi="Arial"/>
                <w:sz w:val="17"/>
              </w:rPr>
              <w:t>±6.8%</w:t>
            </w:r>
          </w:p>
        </w:tc>
        <w:tc>
          <w:tcPr>
            <w:tcW w:type="dxa" w:w="979"/>
            <w:shd w:val="clear" w:color="auto" w:fill="F2F5F8"/>
          </w:tcPr>
          <w:p>
            <w:pPr>
              <w:spacing w:after="40"/>
              <w:jc w:val="right"/>
            </w:pPr>
            <w:r/>
            <w:r>
              <w:rPr>
                <w:rFonts w:ascii="Arial" w:hAnsi="Arial"/>
                <w:sz w:val="17"/>
              </w:rPr>
              <w:t>-17.0%</w:t>
            </w:r>
          </w:p>
        </w:tc>
      </w:tr>
      <w:tr>
        <w:tc>
          <w:tcPr>
            <w:tcW w:type="dxa" w:w="2304"/>
          </w:tcPr>
          <w:p>
            <w:pPr>
              <w:spacing w:after="40"/>
            </w:pPr>
            <w:r/>
            <w:r>
              <w:rPr>
                <w:rFonts w:ascii="Arial" w:hAnsi="Arial"/>
                <w:sz w:val="17"/>
              </w:rPr>
              <w:t>WOT req 16 kt, free RPM</w:t>
            </w:r>
          </w:p>
        </w:tc>
        <w:tc>
          <w:tcPr>
            <w:tcW w:type="dxa" w:w="720"/>
          </w:tcPr>
          <w:p>
            <w:pPr>
              <w:spacing w:after="40"/>
              <w:jc w:val="right"/>
            </w:pPr>
            <w:r/>
            <w:r>
              <w:rPr>
                <w:rFonts w:ascii="Arial" w:hAnsi="Arial"/>
                <w:sz w:val="17"/>
              </w:rPr>
              <w:t>3020</w:t>
            </w:r>
          </w:p>
        </w:tc>
        <w:tc>
          <w:tcPr>
            <w:tcW w:type="dxa" w:w="605"/>
          </w:tcPr>
          <w:p>
            <w:pPr>
              <w:spacing w:after="40"/>
              <w:jc w:val="right"/>
            </w:pPr>
            <w:r/>
            <w:r>
              <w:rPr>
                <w:rFonts w:ascii="Arial" w:hAnsi="Arial"/>
                <w:sz w:val="17"/>
              </w:rPr>
              <w:t>4.70</w:t>
            </w:r>
          </w:p>
        </w:tc>
        <w:tc>
          <w:tcPr>
            <w:tcW w:type="dxa" w:w="605"/>
          </w:tcPr>
          <w:p>
            <w:pPr>
              <w:spacing w:after="40"/>
              <w:jc w:val="right"/>
            </w:pPr>
            <w:r/>
            <w:r>
              <w:rPr>
                <w:rFonts w:ascii="Arial" w:hAnsi="Arial"/>
                <w:sz w:val="17"/>
              </w:rPr>
              <w:t>5.30</w:t>
            </w:r>
          </w:p>
        </w:tc>
        <w:tc>
          <w:tcPr>
            <w:tcW w:type="dxa" w:w="605"/>
          </w:tcPr>
          <w:p>
            <w:pPr>
              <w:spacing w:after="40"/>
              <w:jc w:val="right"/>
            </w:pPr>
            <w:r/>
            <w:r>
              <w:rPr>
                <w:rFonts w:ascii="Arial" w:hAnsi="Arial"/>
                <w:sz w:val="17"/>
              </w:rPr>
              <w:t>5.20</w:t>
            </w:r>
          </w:p>
        </w:tc>
        <w:tc>
          <w:tcPr>
            <w:tcW w:type="dxa" w:w="605"/>
          </w:tcPr>
          <w:p>
            <w:pPr>
              <w:spacing w:after="40"/>
              <w:jc w:val="right"/>
            </w:pPr>
            <w:r/>
            <w:r>
              <w:rPr>
                <w:rFonts w:ascii="Arial" w:hAnsi="Arial"/>
                <w:sz w:val="17"/>
              </w:rPr>
              <w:t>4.93</w:t>
            </w:r>
          </w:p>
        </w:tc>
        <w:tc>
          <w:tcPr>
            <w:tcW w:type="dxa" w:w="1080"/>
          </w:tcPr>
          <w:p>
            <w:pPr>
              <w:spacing w:after="40"/>
              <w:jc w:val="right"/>
            </w:pPr>
            <w:r/>
            <w:r>
              <w:rPr>
                <w:rFonts w:ascii="Arial" w:hAnsi="Arial"/>
                <w:sz w:val="17"/>
              </w:rPr>
              <w:t>9.78</w:t>
            </w:r>
          </w:p>
        </w:tc>
        <w:tc>
          <w:tcPr>
            <w:tcW w:type="dxa" w:w="979"/>
          </w:tcPr>
          <w:p>
            <w:pPr>
              <w:spacing w:after="40"/>
              <w:jc w:val="right"/>
            </w:pPr>
            <w:r/>
            <w:r>
              <w:rPr>
                <w:rFonts w:ascii="Arial" w:hAnsi="Arial"/>
                <w:sz w:val="17"/>
              </w:rPr>
              <w:t>±6.0%</w:t>
            </w:r>
          </w:p>
        </w:tc>
        <w:tc>
          <w:tcPr>
            <w:tcW w:type="dxa" w:w="979"/>
          </w:tcPr>
          <w:p>
            <w:pPr>
              <w:spacing w:after="40"/>
              <w:jc w:val="right"/>
            </w:pPr>
            <w:r/>
            <w:r>
              <w:rPr>
                <w:rFonts w:ascii="Arial" w:hAnsi="Arial"/>
                <w:sz w:val="17"/>
              </w:rPr>
              <w:t>-19.4%</w:t>
            </w:r>
          </w:p>
        </w:tc>
      </w:tr>
      <w:tr>
        <w:tc>
          <w:tcPr>
            <w:tcW w:type="dxa" w:w="2304"/>
            <w:shd w:val="clear" w:color="auto" w:fill="F2F5F8"/>
          </w:tcPr>
          <w:p>
            <w:pPr>
              <w:spacing w:after="40"/>
            </w:pPr>
            <w:r/>
            <w:r>
              <w:rPr>
                <w:rFonts w:ascii="Arial" w:hAnsi="Arial"/>
                <w:sz w:val="17"/>
              </w:rPr>
              <w:t>Mean of the three</w:t>
            </w:r>
          </w:p>
        </w:tc>
        <w:tc>
          <w:tcPr>
            <w:tcW w:type="dxa" w:w="720"/>
            <w:shd w:val="clear" w:color="auto" w:fill="F2F5F8"/>
          </w:tcPr>
          <w:p>
            <w:pPr>
              <w:spacing w:after="40"/>
              <w:jc w:val="right"/>
            </w:pPr>
            <w:r/>
            <w:r>
              <w:rPr>
                <w:rFonts w:ascii="Arial" w:hAnsi="Arial"/>
                <w:sz w:val="17"/>
              </w:rPr>
              <w:t>—</w:t>
            </w:r>
          </w:p>
        </w:tc>
        <w:tc>
          <w:tcPr>
            <w:tcW w:type="dxa" w:w="605"/>
            <w:shd w:val="clear" w:color="auto" w:fill="F2F5F8"/>
          </w:tcPr>
          <w:p>
            <w:pPr>
              <w:spacing w:after="40"/>
              <w:jc w:val="right"/>
            </w:pPr>
            <w:r/>
            <w:r>
              <w:rPr>
                <w:rFonts w:ascii="Arial" w:hAnsi="Arial"/>
                <w:sz w:val="17"/>
              </w:rPr>
              <w:t>—</w:t>
            </w:r>
          </w:p>
        </w:tc>
        <w:tc>
          <w:tcPr>
            <w:tcW w:type="dxa" w:w="605"/>
            <w:shd w:val="clear" w:color="auto" w:fill="F2F5F8"/>
          </w:tcPr>
          <w:p>
            <w:pPr>
              <w:spacing w:after="40"/>
              <w:jc w:val="right"/>
            </w:pPr>
            <w:r/>
            <w:r>
              <w:rPr>
                <w:rFonts w:ascii="Arial" w:hAnsi="Arial"/>
                <w:sz w:val="17"/>
              </w:rPr>
              <w:t>—</w:t>
            </w:r>
          </w:p>
        </w:tc>
        <w:tc>
          <w:tcPr>
            <w:tcW w:type="dxa" w:w="605"/>
            <w:shd w:val="clear" w:color="auto" w:fill="F2F5F8"/>
          </w:tcPr>
          <w:p>
            <w:pPr>
              <w:spacing w:after="40"/>
              <w:jc w:val="right"/>
            </w:pPr>
            <w:r/>
            <w:r>
              <w:rPr>
                <w:rFonts w:ascii="Arial" w:hAnsi="Arial"/>
                <w:sz w:val="17"/>
              </w:rPr>
              <w:t>—</w:t>
            </w:r>
          </w:p>
        </w:tc>
        <w:tc>
          <w:tcPr>
            <w:tcW w:type="dxa" w:w="605"/>
            <w:shd w:val="clear" w:color="auto" w:fill="F2F5F8"/>
          </w:tcPr>
          <w:p>
            <w:pPr>
              <w:spacing w:after="40"/>
              <w:jc w:val="right"/>
            </w:pPr>
            <w:r/>
            <w:r>
              <w:rPr>
                <w:rFonts w:ascii="Arial" w:hAnsi="Arial"/>
                <w:sz w:val="17"/>
              </w:rPr>
              <w:t>—</w:t>
            </w:r>
          </w:p>
        </w:tc>
        <w:tc>
          <w:tcPr>
            <w:tcW w:type="dxa" w:w="1080"/>
            <w:shd w:val="clear" w:color="auto" w:fill="F2F5F8"/>
          </w:tcPr>
          <w:p>
            <w:pPr>
              <w:spacing w:after="40"/>
              <w:jc w:val="right"/>
            </w:pPr>
            <w:r/>
            <w:r>
              <w:rPr>
                <w:rFonts w:ascii="Arial" w:hAnsi="Arial"/>
                <w:sz w:val="17"/>
              </w:rPr>
              <w:t>—</w:t>
            </w:r>
          </w:p>
        </w:tc>
        <w:tc>
          <w:tcPr>
            <w:tcW w:type="dxa" w:w="979"/>
            <w:shd w:val="clear" w:color="auto" w:fill="F2F5F8"/>
          </w:tcPr>
          <w:p>
            <w:pPr>
              <w:spacing w:after="40"/>
              <w:jc w:val="right"/>
            </w:pPr>
            <w:r/>
            <w:r>
              <w:rPr>
                <w:rFonts w:ascii="Arial" w:hAnsi="Arial"/>
                <w:sz w:val="17"/>
              </w:rPr>
              <w:t>±6.9%</w:t>
            </w:r>
          </w:p>
        </w:tc>
        <w:tc>
          <w:tcPr>
            <w:tcW w:type="dxa" w:w="979"/>
            <w:shd w:val="clear" w:color="auto" w:fill="F2F5F8"/>
          </w:tcPr>
          <w:p>
            <w:pPr>
              <w:spacing w:after="40"/>
              <w:jc w:val="right"/>
            </w:pPr>
            <w:r/>
            <w:r>
              <w:rPr>
                <w:rFonts w:ascii="Arial" w:hAnsi="Arial"/>
                <w:sz w:val="17"/>
              </w:rPr>
              <w:t>-18.6%</w:t>
            </w:r>
          </w:p>
        </w:tc>
      </w:tr>
    </w:tbl>
    <w:p>
      <w:pPr>
        <w:spacing w:after="200"/>
      </w:pPr>
      <w:r>
        <w:rPr>
          <w:rFonts w:ascii="Arial" w:hAnsi="Arial"/>
          <w:b w:val="0"/>
          <w:i/>
          <w:color w:val="5B6B7A"/>
          <w:sz w:val="16"/>
        </w:rPr>
        <w:t>Table 7 — Four-heading prop-efficiency test. N/E/S/W are speed in m/s as logged. The three tests agree across two very different RPM settings.</w:t>
      </w:r>
    </w:p>
    <w:p>
      <w:pPr>
        <w:spacing w:after="120"/>
      </w:pPr>
      <w:r>
        <w:rPr>
          <w:rFonts w:ascii="Arial" w:hAnsi="Arial"/>
          <w:b w:val="0"/>
          <w:i w:val="0"/>
          <w:sz w:val="20"/>
        </w:rPr>
        <w:t>Two conclusions follow. First, the true loss at equal RPM is 18.6% rather than the ~30% a single-heading comparison suggests — the larger figures are current-inflated. Second, and independently useful: heading alone moves measured speed by roughly ±6.9% at constant RPM. Any efficiency figure taken from a single-heading run carries at least that much error before anything else is considered.</w:t>
      </w:r>
    </w:p>
    <w:p>
      <w:pPr>
        <w:jc w:val="center"/>
      </w:pPr>
      <w:r>
        <w:drawing>
          <wp:inline xmlns:a="http://schemas.openxmlformats.org/drawingml/2006/main" xmlns:pic="http://schemas.openxmlformats.org/drawingml/2006/picture">
            <wp:extent cx="5669280" cy="3437698"/>
            <wp:docPr id="6" name="Picture 6"/>
            <wp:cNvGraphicFramePr>
              <a:graphicFrameLocks noChangeAspect="1"/>
            </wp:cNvGraphicFramePr>
            <a:graphic>
              <a:graphicData uri="http://schemas.openxmlformats.org/drawingml/2006/picture">
                <pic:pic>
                  <pic:nvPicPr>
                    <pic:cNvPr id="0" name="fig07_heading.png"/>
                    <pic:cNvPicPr/>
                  </pic:nvPicPr>
                  <pic:blipFill>
                    <a:blip r:embed="rId14"/>
                    <a:stretch>
                      <a:fillRect/>
                    </a:stretch>
                  </pic:blipFill>
                  <pic:spPr>
                    <a:xfrm>
                      <a:off x="0" y="0"/>
                      <a:ext cx="5669280" cy="3437698"/>
                    </a:xfrm>
                    <a:prstGeom prst="rect"/>
                  </pic:spPr>
                </pic:pic>
              </a:graphicData>
            </a:graphic>
          </wp:inline>
        </w:drawing>
      </w:r>
    </w:p>
    <w:p>
      <w:pPr>
        <w:spacing w:after="240"/>
        <w:jc w:val="center"/>
      </w:pPr>
      <w:r>
        <w:rPr>
          <w:rFonts w:ascii="Arial" w:hAnsi="Arial"/>
          <w:b w:val="0"/>
          <w:i/>
          <w:color w:val="5B6B7A"/>
          <w:sz w:val="17"/>
        </w:rPr>
        <w:t>Figure 7 — The heading effect. The measured magnitude is firm; the cosine shape fitted through it is a physically motivated assumption, and it is what the companion planner uses to apply a wind vector to a leg.</w:t>
      </w:r>
    </w:p>
    <w:p>
      <w:pPr>
        <w:pStyle w:val="Heading2"/>
      </w:pPr>
      <w:r>
        <w:t>5.3  Efficiency then and now</w:t>
      </w:r>
    </w:p>
    <w:p>
      <w:pPr>
        <w:spacing w:after="120"/>
      </w:pPr>
      <w:r>
        <w:rPr>
          <w:rFonts w:ascii="Arial" w:hAnsi="Arial"/>
          <w:b w:val="0"/>
          <w:i w:val="0"/>
          <w:sz w:val="20"/>
        </w:rPr>
        <w:t>Applying the 2024 fuel-vs-RPM model to both configurations' speeds at matched RPM gives a like-for-like comparison. This is deliberately conservative: at equal RPM the higher-drag 2024 hull is the more heavily loaded one and would in truth burn more than the shared curve predicts.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864"/>
            <w:shd w:val="clear" w:color="auto" w:fill="1F3B60"/>
          </w:tcPr>
          <w:p>
            <w:pPr>
              <w:spacing w:after="40"/>
            </w:pPr>
            <w:r/>
            <w:r>
              <w:rPr>
                <w:rFonts w:ascii="Arial" w:hAnsi="Arial"/>
                <w:b/>
                <w:color w:val="FFFFFF"/>
                <w:sz w:val="17"/>
              </w:rPr>
              <w:t>RPM</w:t>
            </w:r>
          </w:p>
        </w:tc>
        <w:tc>
          <w:tcPr>
            <w:tcW w:type="dxa" w:w="1368"/>
            <w:shd w:val="clear" w:color="auto" w:fill="1F3B60"/>
          </w:tcPr>
          <w:p>
            <w:pPr>
              <w:spacing w:after="40"/>
              <w:jc w:val="right"/>
            </w:pPr>
            <w:r/>
            <w:r>
              <w:rPr>
                <w:rFonts w:ascii="Arial" w:hAnsi="Arial"/>
                <w:b/>
                <w:color w:val="FFFFFF"/>
                <w:sz w:val="17"/>
              </w:rPr>
              <w:t>Fuel (L/h)</w:t>
            </w:r>
          </w:p>
        </w:tc>
        <w:tc>
          <w:tcPr>
            <w:tcW w:type="dxa" w:w="1440"/>
            <w:shd w:val="clear" w:color="auto" w:fill="1F3B60"/>
          </w:tcPr>
          <w:p>
            <w:pPr>
              <w:spacing w:after="40"/>
              <w:jc w:val="right"/>
            </w:pPr>
            <w:r/>
            <w:r>
              <w:rPr>
                <w:rFonts w:ascii="Arial" w:hAnsi="Arial"/>
                <w:b/>
                <w:color w:val="FFFFFF"/>
                <w:sz w:val="17"/>
              </w:rPr>
              <w:t>2022 speed</w:t>
            </w:r>
          </w:p>
        </w:tc>
        <w:tc>
          <w:tcPr>
            <w:tcW w:type="dxa" w:w="1368"/>
            <w:shd w:val="clear" w:color="auto" w:fill="1F3B60"/>
          </w:tcPr>
          <w:p>
            <w:pPr>
              <w:spacing w:after="40"/>
              <w:jc w:val="right"/>
            </w:pPr>
            <w:r/>
            <w:r>
              <w:rPr>
                <w:rFonts w:ascii="Arial" w:hAnsi="Arial"/>
                <w:b/>
                <w:color w:val="FFFFFF"/>
                <w:sz w:val="17"/>
              </w:rPr>
              <w:t>2022 NM/L</w:t>
            </w:r>
          </w:p>
        </w:tc>
        <w:tc>
          <w:tcPr>
            <w:tcW w:type="dxa" w:w="1440"/>
            <w:shd w:val="clear" w:color="auto" w:fill="1F3B60"/>
          </w:tcPr>
          <w:p>
            <w:pPr>
              <w:spacing w:after="40"/>
              <w:jc w:val="right"/>
            </w:pPr>
            <w:r/>
            <w:r>
              <w:rPr>
                <w:rFonts w:ascii="Arial" w:hAnsi="Arial"/>
                <w:b/>
                <w:color w:val="FFFFFF"/>
                <w:sz w:val="17"/>
              </w:rPr>
              <w:t>2024 speed</w:t>
            </w:r>
          </w:p>
        </w:tc>
        <w:tc>
          <w:tcPr>
            <w:tcW w:type="dxa" w:w="1368"/>
            <w:shd w:val="clear" w:color="auto" w:fill="1F3B60"/>
          </w:tcPr>
          <w:p>
            <w:pPr>
              <w:spacing w:after="40"/>
              <w:jc w:val="right"/>
            </w:pPr>
            <w:r/>
            <w:r>
              <w:rPr>
                <w:rFonts w:ascii="Arial" w:hAnsi="Arial"/>
                <w:b/>
                <w:color w:val="FFFFFF"/>
                <w:sz w:val="17"/>
              </w:rPr>
              <w:t>2024 NM/L</w:t>
            </w:r>
          </w:p>
        </w:tc>
        <w:tc>
          <w:tcPr>
            <w:tcW w:type="dxa" w:w="1224"/>
            <w:shd w:val="clear" w:color="auto" w:fill="1F3B60"/>
          </w:tcPr>
          <w:p>
            <w:pPr>
              <w:spacing w:after="40"/>
              <w:jc w:val="right"/>
            </w:pPr>
            <w:r/>
            <w:r>
              <w:rPr>
                <w:rFonts w:ascii="Arial" w:hAnsi="Arial"/>
                <w:b/>
                <w:color w:val="FFFFFF"/>
                <w:sz w:val="17"/>
              </w:rPr>
              <w:t>Retained</w:t>
            </w:r>
          </w:p>
        </w:tc>
      </w:tr>
      <w:tr>
        <w:tc>
          <w:tcPr>
            <w:tcW w:type="dxa" w:w="864"/>
          </w:tcPr>
          <w:p>
            <w:pPr>
              <w:spacing w:after="40"/>
            </w:pPr>
            <w:r/>
            <w:r>
              <w:rPr>
                <w:rFonts w:ascii="Arial" w:hAnsi="Arial"/>
                <w:sz w:val="17"/>
              </w:rPr>
              <w:t>1250</w:t>
            </w:r>
          </w:p>
        </w:tc>
        <w:tc>
          <w:tcPr>
            <w:tcW w:type="dxa" w:w="1368"/>
          </w:tcPr>
          <w:p>
            <w:pPr>
              <w:spacing w:after="40"/>
              <w:jc w:val="right"/>
            </w:pPr>
            <w:r/>
            <w:r>
              <w:rPr>
                <w:rFonts w:ascii="Arial" w:hAnsi="Arial"/>
                <w:sz w:val="17"/>
              </w:rPr>
              <w:t>1.343</w:t>
            </w:r>
          </w:p>
        </w:tc>
        <w:tc>
          <w:tcPr>
            <w:tcW w:type="dxa" w:w="1440"/>
          </w:tcPr>
          <w:p>
            <w:pPr>
              <w:spacing w:after="40"/>
              <w:jc w:val="right"/>
            </w:pPr>
            <w:r/>
            <w:r>
              <w:rPr>
                <w:rFonts w:ascii="Arial" w:hAnsi="Arial"/>
                <w:sz w:val="17"/>
              </w:rPr>
              <w:t>5.00 kt</w:t>
            </w:r>
          </w:p>
        </w:tc>
        <w:tc>
          <w:tcPr>
            <w:tcW w:type="dxa" w:w="1368"/>
          </w:tcPr>
          <w:p>
            <w:pPr>
              <w:spacing w:after="40"/>
              <w:jc w:val="right"/>
            </w:pPr>
            <w:r/>
            <w:r>
              <w:rPr>
                <w:rFonts w:ascii="Arial" w:hAnsi="Arial"/>
                <w:sz w:val="17"/>
              </w:rPr>
              <w:t>3.72</w:t>
            </w:r>
          </w:p>
        </w:tc>
        <w:tc>
          <w:tcPr>
            <w:tcW w:type="dxa" w:w="1440"/>
          </w:tcPr>
          <w:p>
            <w:pPr>
              <w:spacing w:after="40"/>
              <w:jc w:val="right"/>
            </w:pPr>
            <w:r/>
            <w:r>
              <w:rPr>
                <w:rFonts w:ascii="Arial" w:hAnsi="Arial"/>
                <w:sz w:val="17"/>
              </w:rPr>
              <w:t>4.41 kt</w:t>
            </w:r>
          </w:p>
        </w:tc>
        <w:tc>
          <w:tcPr>
            <w:tcW w:type="dxa" w:w="1368"/>
          </w:tcPr>
          <w:p>
            <w:pPr>
              <w:spacing w:after="40"/>
              <w:jc w:val="right"/>
            </w:pPr>
            <w:r/>
            <w:r>
              <w:rPr>
                <w:rFonts w:ascii="Arial" w:hAnsi="Arial"/>
                <w:sz w:val="17"/>
              </w:rPr>
              <w:t>3.29</w:t>
            </w:r>
          </w:p>
        </w:tc>
        <w:tc>
          <w:tcPr>
            <w:tcW w:type="dxa" w:w="1224"/>
          </w:tcPr>
          <w:p>
            <w:pPr>
              <w:spacing w:after="40"/>
              <w:jc w:val="right"/>
            </w:pPr>
            <w:r/>
            <w:r>
              <w:rPr>
                <w:rFonts w:ascii="Arial" w:hAnsi="Arial"/>
                <w:sz w:val="17"/>
              </w:rPr>
              <w:t>88.3%</w:t>
            </w:r>
          </w:p>
        </w:tc>
      </w:tr>
      <w:tr>
        <w:tc>
          <w:tcPr>
            <w:tcW w:type="dxa" w:w="864"/>
            <w:shd w:val="clear" w:color="auto" w:fill="F2F5F8"/>
          </w:tcPr>
          <w:p>
            <w:pPr>
              <w:spacing w:after="40"/>
            </w:pPr>
            <w:r/>
            <w:r>
              <w:rPr>
                <w:rFonts w:ascii="Arial" w:hAnsi="Arial"/>
                <w:sz w:val="17"/>
              </w:rPr>
              <w:t>1500</w:t>
            </w:r>
          </w:p>
        </w:tc>
        <w:tc>
          <w:tcPr>
            <w:tcW w:type="dxa" w:w="1368"/>
            <w:shd w:val="clear" w:color="auto" w:fill="F2F5F8"/>
          </w:tcPr>
          <w:p>
            <w:pPr>
              <w:spacing w:after="40"/>
              <w:jc w:val="right"/>
            </w:pPr>
            <w:r/>
            <w:r>
              <w:rPr>
                <w:rFonts w:ascii="Arial" w:hAnsi="Arial"/>
                <w:sz w:val="17"/>
              </w:rPr>
              <w:t>1.966</w:t>
            </w:r>
          </w:p>
        </w:tc>
        <w:tc>
          <w:tcPr>
            <w:tcW w:type="dxa" w:w="1440"/>
            <w:shd w:val="clear" w:color="auto" w:fill="F2F5F8"/>
          </w:tcPr>
          <w:p>
            <w:pPr>
              <w:spacing w:after="40"/>
              <w:jc w:val="right"/>
            </w:pPr>
            <w:r/>
            <w:r>
              <w:rPr>
                <w:rFonts w:ascii="Arial" w:hAnsi="Arial"/>
                <w:sz w:val="17"/>
              </w:rPr>
              <w:t>6.01 kt</w:t>
            </w:r>
          </w:p>
        </w:tc>
        <w:tc>
          <w:tcPr>
            <w:tcW w:type="dxa" w:w="1368"/>
            <w:shd w:val="clear" w:color="auto" w:fill="F2F5F8"/>
          </w:tcPr>
          <w:p>
            <w:pPr>
              <w:spacing w:after="40"/>
              <w:jc w:val="right"/>
            </w:pPr>
            <w:r/>
            <w:r>
              <w:rPr>
                <w:rFonts w:ascii="Arial" w:hAnsi="Arial"/>
                <w:sz w:val="17"/>
              </w:rPr>
              <w:t>3.05</w:t>
            </w:r>
          </w:p>
        </w:tc>
        <w:tc>
          <w:tcPr>
            <w:tcW w:type="dxa" w:w="1440"/>
            <w:shd w:val="clear" w:color="auto" w:fill="F2F5F8"/>
          </w:tcPr>
          <w:p>
            <w:pPr>
              <w:spacing w:after="40"/>
              <w:jc w:val="right"/>
            </w:pPr>
            <w:r/>
            <w:r>
              <w:rPr>
                <w:rFonts w:ascii="Arial" w:hAnsi="Arial"/>
                <w:sz w:val="17"/>
              </w:rPr>
              <w:t>5.07 kt</w:t>
            </w:r>
          </w:p>
        </w:tc>
        <w:tc>
          <w:tcPr>
            <w:tcW w:type="dxa" w:w="1368"/>
            <w:shd w:val="clear" w:color="auto" w:fill="F2F5F8"/>
          </w:tcPr>
          <w:p>
            <w:pPr>
              <w:spacing w:after="40"/>
              <w:jc w:val="right"/>
            </w:pPr>
            <w:r/>
            <w:r>
              <w:rPr>
                <w:rFonts w:ascii="Arial" w:hAnsi="Arial"/>
                <w:sz w:val="17"/>
              </w:rPr>
              <w:t>2.58</w:t>
            </w:r>
          </w:p>
        </w:tc>
        <w:tc>
          <w:tcPr>
            <w:tcW w:type="dxa" w:w="1224"/>
            <w:shd w:val="clear" w:color="auto" w:fill="F2F5F8"/>
          </w:tcPr>
          <w:p>
            <w:pPr>
              <w:spacing w:after="40"/>
              <w:jc w:val="right"/>
            </w:pPr>
            <w:r/>
            <w:r>
              <w:rPr>
                <w:rFonts w:ascii="Arial" w:hAnsi="Arial"/>
                <w:sz w:val="17"/>
              </w:rPr>
              <w:t>84.4%</w:t>
            </w:r>
          </w:p>
        </w:tc>
      </w:tr>
      <w:tr>
        <w:tc>
          <w:tcPr>
            <w:tcW w:type="dxa" w:w="864"/>
          </w:tcPr>
          <w:p>
            <w:pPr>
              <w:spacing w:after="40"/>
            </w:pPr>
            <w:r/>
            <w:r>
              <w:rPr>
                <w:rFonts w:ascii="Arial" w:hAnsi="Arial"/>
                <w:sz w:val="17"/>
              </w:rPr>
              <w:t>1750</w:t>
            </w:r>
          </w:p>
        </w:tc>
        <w:tc>
          <w:tcPr>
            <w:tcW w:type="dxa" w:w="1368"/>
          </w:tcPr>
          <w:p>
            <w:pPr>
              <w:spacing w:after="40"/>
              <w:jc w:val="right"/>
            </w:pPr>
            <w:r/>
            <w:r>
              <w:rPr>
                <w:rFonts w:ascii="Arial" w:hAnsi="Arial"/>
                <w:sz w:val="17"/>
              </w:rPr>
              <w:t>2.590</w:t>
            </w:r>
          </w:p>
        </w:tc>
        <w:tc>
          <w:tcPr>
            <w:tcW w:type="dxa" w:w="1440"/>
          </w:tcPr>
          <w:p>
            <w:pPr>
              <w:spacing w:after="40"/>
              <w:jc w:val="right"/>
            </w:pPr>
            <w:r/>
            <w:r>
              <w:rPr>
                <w:rFonts w:ascii="Arial" w:hAnsi="Arial"/>
                <w:sz w:val="17"/>
              </w:rPr>
              <w:t>7.01 kt</w:t>
            </w:r>
          </w:p>
        </w:tc>
        <w:tc>
          <w:tcPr>
            <w:tcW w:type="dxa" w:w="1368"/>
          </w:tcPr>
          <w:p>
            <w:pPr>
              <w:spacing w:after="40"/>
              <w:jc w:val="right"/>
            </w:pPr>
            <w:r/>
            <w:r>
              <w:rPr>
                <w:rFonts w:ascii="Arial" w:hAnsi="Arial"/>
                <w:sz w:val="17"/>
              </w:rPr>
              <w:t>2.71</w:t>
            </w:r>
          </w:p>
        </w:tc>
        <w:tc>
          <w:tcPr>
            <w:tcW w:type="dxa" w:w="1440"/>
          </w:tcPr>
          <w:p>
            <w:pPr>
              <w:spacing w:after="40"/>
              <w:jc w:val="right"/>
            </w:pPr>
            <w:r/>
            <w:r>
              <w:rPr>
                <w:rFonts w:ascii="Arial" w:hAnsi="Arial"/>
                <w:sz w:val="17"/>
              </w:rPr>
              <w:t>5.73 kt</w:t>
            </w:r>
          </w:p>
        </w:tc>
        <w:tc>
          <w:tcPr>
            <w:tcW w:type="dxa" w:w="1368"/>
          </w:tcPr>
          <w:p>
            <w:pPr>
              <w:spacing w:after="40"/>
              <w:jc w:val="right"/>
            </w:pPr>
            <w:r/>
            <w:r>
              <w:rPr>
                <w:rFonts w:ascii="Arial" w:hAnsi="Arial"/>
                <w:sz w:val="17"/>
              </w:rPr>
              <w:t>2.21</w:t>
            </w:r>
          </w:p>
        </w:tc>
        <w:tc>
          <w:tcPr>
            <w:tcW w:type="dxa" w:w="1224"/>
          </w:tcPr>
          <w:p>
            <w:pPr>
              <w:spacing w:after="40"/>
              <w:jc w:val="right"/>
            </w:pPr>
            <w:r/>
            <w:r>
              <w:rPr>
                <w:rFonts w:ascii="Arial" w:hAnsi="Arial"/>
                <w:sz w:val="17"/>
              </w:rPr>
              <w:t>81.6%</w:t>
            </w:r>
          </w:p>
        </w:tc>
      </w:tr>
      <w:tr>
        <w:tc>
          <w:tcPr>
            <w:tcW w:type="dxa" w:w="864"/>
            <w:shd w:val="clear" w:color="auto" w:fill="F2F5F8"/>
          </w:tcPr>
          <w:p>
            <w:pPr>
              <w:spacing w:after="40"/>
            </w:pPr>
            <w:r/>
            <w:r>
              <w:rPr>
                <w:rFonts w:ascii="Arial" w:hAnsi="Arial"/>
                <w:sz w:val="17"/>
              </w:rPr>
              <w:t>2000</w:t>
            </w:r>
          </w:p>
        </w:tc>
        <w:tc>
          <w:tcPr>
            <w:tcW w:type="dxa" w:w="1368"/>
            <w:shd w:val="clear" w:color="auto" w:fill="F2F5F8"/>
          </w:tcPr>
          <w:p>
            <w:pPr>
              <w:spacing w:after="40"/>
              <w:jc w:val="right"/>
            </w:pPr>
            <w:r/>
            <w:r>
              <w:rPr>
                <w:rFonts w:ascii="Arial" w:hAnsi="Arial"/>
                <w:sz w:val="17"/>
              </w:rPr>
              <w:t>3.214</w:t>
            </w:r>
          </w:p>
        </w:tc>
        <w:tc>
          <w:tcPr>
            <w:tcW w:type="dxa" w:w="1440"/>
            <w:shd w:val="clear" w:color="auto" w:fill="F2F5F8"/>
          </w:tcPr>
          <w:p>
            <w:pPr>
              <w:spacing w:after="40"/>
              <w:jc w:val="right"/>
            </w:pPr>
            <w:r/>
            <w:r>
              <w:rPr>
                <w:rFonts w:ascii="Arial" w:hAnsi="Arial"/>
                <w:sz w:val="17"/>
              </w:rPr>
              <w:t>8.02 kt</w:t>
            </w:r>
          </w:p>
        </w:tc>
        <w:tc>
          <w:tcPr>
            <w:tcW w:type="dxa" w:w="1368"/>
            <w:shd w:val="clear" w:color="auto" w:fill="F2F5F8"/>
          </w:tcPr>
          <w:p>
            <w:pPr>
              <w:spacing w:after="40"/>
              <w:jc w:val="right"/>
            </w:pPr>
            <w:r/>
            <w:r>
              <w:rPr>
                <w:rFonts w:ascii="Arial" w:hAnsi="Arial"/>
                <w:sz w:val="17"/>
              </w:rPr>
              <w:t>2.50</w:t>
            </w:r>
          </w:p>
        </w:tc>
        <w:tc>
          <w:tcPr>
            <w:tcW w:type="dxa" w:w="1440"/>
            <w:shd w:val="clear" w:color="auto" w:fill="F2F5F8"/>
          </w:tcPr>
          <w:p>
            <w:pPr>
              <w:spacing w:after="40"/>
              <w:jc w:val="right"/>
            </w:pPr>
            <w:r/>
            <w:r>
              <w:rPr>
                <w:rFonts w:ascii="Arial" w:hAnsi="Arial"/>
                <w:sz w:val="17"/>
              </w:rPr>
              <w:t>6.38 kt</w:t>
            </w:r>
          </w:p>
        </w:tc>
        <w:tc>
          <w:tcPr>
            <w:tcW w:type="dxa" w:w="1368"/>
            <w:shd w:val="clear" w:color="auto" w:fill="F2F5F8"/>
          </w:tcPr>
          <w:p>
            <w:pPr>
              <w:spacing w:after="40"/>
              <w:jc w:val="right"/>
            </w:pPr>
            <w:r/>
            <w:r>
              <w:rPr>
                <w:rFonts w:ascii="Arial" w:hAnsi="Arial"/>
                <w:sz w:val="17"/>
              </w:rPr>
              <w:t>1.99</w:t>
            </w:r>
          </w:p>
        </w:tc>
        <w:tc>
          <w:tcPr>
            <w:tcW w:type="dxa" w:w="1224"/>
            <w:shd w:val="clear" w:color="auto" w:fill="F2F5F8"/>
          </w:tcPr>
          <w:p>
            <w:pPr>
              <w:spacing w:after="40"/>
              <w:jc w:val="right"/>
            </w:pPr>
            <w:r/>
            <w:r>
              <w:rPr>
                <w:rFonts w:ascii="Arial" w:hAnsi="Arial"/>
                <w:sz w:val="17"/>
              </w:rPr>
              <w:t>79.6%</w:t>
            </w:r>
          </w:p>
        </w:tc>
      </w:tr>
      <w:tr>
        <w:tc>
          <w:tcPr>
            <w:tcW w:type="dxa" w:w="864"/>
          </w:tcPr>
          <w:p>
            <w:pPr>
              <w:spacing w:after="40"/>
            </w:pPr>
            <w:r/>
            <w:r>
              <w:rPr>
                <w:rFonts w:ascii="Arial" w:hAnsi="Arial"/>
                <w:sz w:val="17"/>
              </w:rPr>
              <w:t>2250</w:t>
            </w:r>
          </w:p>
        </w:tc>
        <w:tc>
          <w:tcPr>
            <w:tcW w:type="dxa" w:w="1368"/>
          </w:tcPr>
          <w:p>
            <w:pPr>
              <w:spacing w:after="40"/>
              <w:jc w:val="right"/>
            </w:pPr>
            <w:r/>
            <w:r>
              <w:rPr>
                <w:rFonts w:ascii="Arial" w:hAnsi="Arial"/>
                <w:sz w:val="17"/>
              </w:rPr>
              <w:t>3.837</w:t>
            </w:r>
          </w:p>
        </w:tc>
        <w:tc>
          <w:tcPr>
            <w:tcW w:type="dxa" w:w="1440"/>
          </w:tcPr>
          <w:p>
            <w:pPr>
              <w:spacing w:after="40"/>
              <w:jc w:val="right"/>
            </w:pPr>
            <w:r/>
            <w:r>
              <w:rPr>
                <w:rFonts w:ascii="Arial" w:hAnsi="Arial"/>
                <w:sz w:val="17"/>
              </w:rPr>
              <w:t>9.03 kt</w:t>
            </w:r>
          </w:p>
        </w:tc>
        <w:tc>
          <w:tcPr>
            <w:tcW w:type="dxa" w:w="1368"/>
          </w:tcPr>
          <w:p>
            <w:pPr>
              <w:spacing w:after="40"/>
              <w:jc w:val="right"/>
            </w:pPr>
            <w:r/>
            <w:r>
              <w:rPr>
                <w:rFonts w:ascii="Arial" w:hAnsi="Arial"/>
                <w:sz w:val="17"/>
              </w:rPr>
              <w:t>2.35</w:t>
            </w:r>
          </w:p>
        </w:tc>
        <w:tc>
          <w:tcPr>
            <w:tcW w:type="dxa" w:w="1440"/>
          </w:tcPr>
          <w:p>
            <w:pPr>
              <w:spacing w:after="40"/>
              <w:jc w:val="right"/>
            </w:pPr>
            <w:r/>
            <w:r>
              <w:rPr>
                <w:rFonts w:ascii="Arial" w:hAnsi="Arial"/>
                <w:sz w:val="17"/>
              </w:rPr>
              <w:t>7.04 kt</w:t>
            </w:r>
          </w:p>
        </w:tc>
        <w:tc>
          <w:tcPr>
            <w:tcW w:type="dxa" w:w="1368"/>
          </w:tcPr>
          <w:p>
            <w:pPr>
              <w:spacing w:after="40"/>
              <w:jc w:val="right"/>
            </w:pPr>
            <w:r/>
            <w:r>
              <w:rPr>
                <w:rFonts w:ascii="Arial" w:hAnsi="Arial"/>
                <w:sz w:val="17"/>
              </w:rPr>
              <w:t>1.83</w:t>
            </w:r>
          </w:p>
        </w:tc>
        <w:tc>
          <w:tcPr>
            <w:tcW w:type="dxa" w:w="1224"/>
          </w:tcPr>
          <w:p>
            <w:pPr>
              <w:spacing w:after="40"/>
              <w:jc w:val="right"/>
            </w:pPr>
            <w:r/>
            <w:r>
              <w:rPr>
                <w:rFonts w:ascii="Arial" w:hAnsi="Arial"/>
                <w:sz w:val="17"/>
              </w:rPr>
              <w:t>77.9%</w:t>
            </w:r>
          </w:p>
        </w:tc>
      </w:tr>
      <w:tr>
        <w:tc>
          <w:tcPr>
            <w:tcW w:type="dxa" w:w="864"/>
            <w:shd w:val="clear" w:color="auto" w:fill="F2F5F8"/>
          </w:tcPr>
          <w:p>
            <w:pPr>
              <w:spacing w:after="40"/>
            </w:pPr>
            <w:r/>
            <w:r>
              <w:rPr>
                <w:rFonts w:ascii="Arial" w:hAnsi="Arial"/>
                <w:sz w:val="17"/>
              </w:rPr>
              <w:t>2500</w:t>
            </w:r>
          </w:p>
        </w:tc>
        <w:tc>
          <w:tcPr>
            <w:tcW w:type="dxa" w:w="1368"/>
            <w:shd w:val="clear" w:color="auto" w:fill="F2F5F8"/>
          </w:tcPr>
          <w:p>
            <w:pPr>
              <w:spacing w:after="40"/>
              <w:jc w:val="right"/>
            </w:pPr>
            <w:r/>
            <w:r>
              <w:rPr>
                <w:rFonts w:ascii="Arial" w:hAnsi="Arial"/>
                <w:sz w:val="17"/>
              </w:rPr>
              <w:t>4.461</w:t>
            </w:r>
          </w:p>
        </w:tc>
        <w:tc>
          <w:tcPr>
            <w:tcW w:type="dxa" w:w="1440"/>
            <w:shd w:val="clear" w:color="auto" w:fill="F2F5F8"/>
          </w:tcPr>
          <w:p>
            <w:pPr>
              <w:spacing w:after="40"/>
              <w:jc w:val="right"/>
            </w:pPr>
            <w:r/>
            <w:r>
              <w:rPr>
                <w:rFonts w:ascii="Arial" w:hAnsi="Arial"/>
                <w:sz w:val="17"/>
              </w:rPr>
              <w:t>10.04 kt</w:t>
            </w:r>
          </w:p>
        </w:tc>
        <w:tc>
          <w:tcPr>
            <w:tcW w:type="dxa" w:w="1368"/>
            <w:shd w:val="clear" w:color="auto" w:fill="F2F5F8"/>
          </w:tcPr>
          <w:p>
            <w:pPr>
              <w:spacing w:after="40"/>
              <w:jc w:val="right"/>
            </w:pPr>
            <w:r/>
            <w:r>
              <w:rPr>
                <w:rFonts w:ascii="Arial" w:hAnsi="Arial"/>
                <w:sz w:val="17"/>
              </w:rPr>
              <w:t>2.25</w:t>
            </w:r>
          </w:p>
        </w:tc>
        <w:tc>
          <w:tcPr>
            <w:tcW w:type="dxa" w:w="1440"/>
            <w:shd w:val="clear" w:color="auto" w:fill="F2F5F8"/>
          </w:tcPr>
          <w:p>
            <w:pPr>
              <w:spacing w:after="40"/>
              <w:jc w:val="right"/>
            </w:pPr>
            <w:r/>
            <w:r>
              <w:rPr>
                <w:rFonts w:ascii="Arial" w:hAnsi="Arial"/>
                <w:sz w:val="17"/>
              </w:rPr>
              <w:t>7.69 kt</w:t>
            </w:r>
          </w:p>
        </w:tc>
        <w:tc>
          <w:tcPr>
            <w:tcW w:type="dxa" w:w="1368"/>
            <w:shd w:val="clear" w:color="auto" w:fill="F2F5F8"/>
          </w:tcPr>
          <w:p>
            <w:pPr>
              <w:spacing w:after="40"/>
              <w:jc w:val="right"/>
            </w:pPr>
            <w:r/>
            <w:r>
              <w:rPr>
                <w:rFonts w:ascii="Arial" w:hAnsi="Arial"/>
                <w:sz w:val="17"/>
              </w:rPr>
              <w:t>1.72</w:t>
            </w:r>
          </w:p>
        </w:tc>
        <w:tc>
          <w:tcPr>
            <w:tcW w:type="dxa" w:w="1224"/>
            <w:shd w:val="clear" w:color="auto" w:fill="F2F5F8"/>
          </w:tcPr>
          <w:p>
            <w:pPr>
              <w:spacing w:after="40"/>
              <w:jc w:val="right"/>
            </w:pPr>
            <w:r/>
            <w:r>
              <w:rPr>
                <w:rFonts w:ascii="Arial" w:hAnsi="Arial"/>
                <w:sz w:val="17"/>
              </w:rPr>
              <w:t>76.6%</w:t>
            </w:r>
          </w:p>
        </w:tc>
      </w:tr>
      <w:tr>
        <w:tc>
          <w:tcPr>
            <w:tcW w:type="dxa" w:w="864"/>
          </w:tcPr>
          <w:p>
            <w:pPr>
              <w:spacing w:after="40"/>
            </w:pPr>
            <w:r/>
            <w:r>
              <w:rPr>
                <w:rFonts w:ascii="Arial" w:hAnsi="Arial"/>
                <w:sz w:val="17"/>
              </w:rPr>
              <w:t>Mean</w:t>
            </w:r>
          </w:p>
        </w:tc>
        <w:tc>
          <w:tcPr>
            <w:tcW w:type="dxa" w:w="1368"/>
          </w:tcPr>
          <w:p>
            <w:pPr>
              <w:spacing w:after="40"/>
              <w:jc w:val="right"/>
            </w:pPr>
            <w:r/>
            <w:r>
              <w:rPr>
                <w:rFonts w:ascii="Arial" w:hAnsi="Arial"/>
                <w:sz w:val="17"/>
              </w:rPr>
              <w:t>—</w:t>
            </w:r>
          </w:p>
        </w:tc>
        <w:tc>
          <w:tcPr>
            <w:tcW w:type="dxa" w:w="1440"/>
          </w:tcPr>
          <w:p>
            <w:pPr>
              <w:spacing w:after="40"/>
              <w:jc w:val="right"/>
            </w:pPr>
            <w:r/>
            <w:r>
              <w:rPr>
                <w:rFonts w:ascii="Arial" w:hAnsi="Arial"/>
                <w:sz w:val="17"/>
              </w:rPr>
              <w:t>—</w:t>
            </w:r>
          </w:p>
        </w:tc>
        <w:tc>
          <w:tcPr>
            <w:tcW w:type="dxa" w:w="1368"/>
          </w:tcPr>
          <w:p>
            <w:pPr>
              <w:spacing w:after="40"/>
              <w:jc w:val="right"/>
            </w:pPr>
            <w:r/>
            <w:r>
              <w:rPr>
                <w:rFonts w:ascii="Arial" w:hAnsi="Arial"/>
                <w:sz w:val="17"/>
              </w:rPr>
              <w:t>—</w:t>
            </w:r>
          </w:p>
        </w:tc>
        <w:tc>
          <w:tcPr>
            <w:tcW w:type="dxa" w:w="1440"/>
          </w:tcPr>
          <w:p>
            <w:pPr>
              <w:spacing w:after="40"/>
              <w:jc w:val="right"/>
            </w:pPr>
            <w:r/>
            <w:r>
              <w:rPr>
                <w:rFonts w:ascii="Arial" w:hAnsi="Arial"/>
                <w:sz w:val="17"/>
              </w:rPr>
              <w:t>—</w:t>
            </w:r>
          </w:p>
        </w:tc>
        <w:tc>
          <w:tcPr>
            <w:tcW w:type="dxa" w:w="1368"/>
          </w:tcPr>
          <w:p>
            <w:pPr>
              <w:spacing w:after="40"/>
              <w:jc w:val="right"/>
            </w:pPr>
            <w:r/>
            <w:r>
              <w:rPr>
                <w:rFonts w:ascii="Arial" w:hAnsi="Arial"/>
                <w:sz w:val="17"/>
              </w:rPr>
              <w:t>—</w:t>
            </w:r>
          </w:p>
        </w:tc>
        <w:tc>
          <w:tcPr>
            <w:tcW w:type="dxa" w:w="1224"/>
          </w:tcPr>
          <w:p>
            <w:pPr>
              <w:spacing w:after="40"/>
              <w:jc w:val="right"/>
            </w:pPr>
            <w:r/>
            <w:r>
              <w:rPr>
                <w:rFonts w:ascii="Arial" w:hAnsi="Arial"/>
                <w:sz w:val="17"/>
              </w:rPr>
              <w:t>81.4%</w:t>
            </w:r>
          </w:p>
        </w:tc>
      </w:tr>
    </w:tbl>
    <w:p>
      <w:pPr>
        <w:spacing w:after="200"/>
      </w:pPr>
      <w:r>
        <w:rPr>
          <w:rFonts w:ascii="Arial" w:hAnsi="Arial"/>
          <w:b w:val="0"/>
          <w:i/>
          <w:color w:val="5B6B7A"/>
          <w:sz w:val="16"/>
        </w:rPr>
        <w:t>Table 8 — Efficiency retained, bridged through RPM. The loss widens with speed, consistent with an added-drag mechanism rather than a propulsion fault.</w:t>
      </w:r>
    </w:p>
    <w:p>
      <w:pPr>
        <w:jc w:val="center"/>
      </w:pPr>
      <w:r>
        <w:drawing>
          <wp:inline xmlns:a="http://schemas.openxmlformats.org/drawingml/2006/main" xmlns:pic="http://schemas.openxmlformats.org/drawingml/2006/picture">
            <wp:extent cx="5669280" cy="3504738"/>
            <wp:docPr id="7" name="Picture 7"/>
            <wp:cNvGraphicFramePr>
              <a:graphicFrameLocks noChangeAspect="1"/>
            </wp:cNvGraphicFramePr>
            <a:graphic>
              <a:graphicData uri="http://schemas.openxmlformats.org/drawingml/2006/picture">
                <pic:pic>
                  <pic:nvPicPr>
                    <pic:cNvPr id="0" name="fig06_config_efficiency.png"/>
                    <pic:cNvPicPr/>
                  </pic:nvPicPr>
                  <pic:blipFill>
                    <a:blip r:embed="rId15"/>
                    <a:stretch>
                      <a:fillRect/>
                    </a:stretch>
                  </pic:blipFill>
                  <pic:spPr>
                    <a:xfrm>
                      <a:off x="0" y="0"/>
                      <a:ext cx="5669280" cy="3504738"/>
                    </a:xfrm>
                    <a:prstGeom prst="rect"/>
                  </pic:spPr>
                </pic:pic>
              </a:graphicData>
            </a:graphic>
          </wp:inline>
        </w:drawing>
      </w:r>
    </w:p>
    <w:p>
      <w:pPr>
        <w:spacing w:after="240"/>
        <w:jc w:val="center"/>
      </w:pPr>
      <w:r>
        <w:rPr>
          <w:rFonts w:ascii="Arial" w:hAnsi="Arial"/>
          <w:b w:val="0"/>
          <w:i/>
          <w:color w:val="5B6B7A"/>
          <w:sz w:val="17"/>
        </w:rPr>
        <w:t>Figure 6 — Efficiency curves for both configurations. The 2022 curve sits above the 2024 one at every shared speed and extends further right.</w:t>
      </w:r>
    </w:p>
    <w:p>
      <w:pPr>
        <w:pStyle w:val="Heading2"/>
      </w:pPr>
      <w:r>
        <w:t>5.4  Interpretation</w:t>
      </w:r>
    </w:p>
    <w:p>
      <w:pPr>
        <w:spacing w:after="120"/>
      </w:pPr>
      <w:r>
        <w:rPr>
          <w:rFonts w:ascii="Arial" w:hAnsi="Arial"/>
          <w:b w:val="0"/>
          <w:i w:val="0"/>
          <w:sz w:val="20"/>
        </w:rPr>
        <w:t>The pattern — a flattened propulsion curve, a loss that widens with speed, and a hard ceiling near 9.8 kt — is the signature of substantially added drag rather than a loss of installed power. This report quantifies that upgrade's cost: roughly 19% of distance per litre, and about 1.6 kt off the top end.</w:t>
      </w:r>
    </w:p>
    <w:p>
      <w:pPr>
        <w:spacing w:after="120"/>
      </w:pPr>
      <w:r>
        <w:rPr>
          <w:rFonts w:ascii="Arial" w:hAnsi="Arial"/>
          <w:b w:val="0"/>
          <w:i w:val="0"/>
          <w:sz w:val="20"/>
        </w:rPr>
        <w:t>One caveat should be stated plainly. There is no fuel measurement of any kind from 2022 and no speed-vs-RPM table from 2023, so the historical time series rests on two points.</w:t>
      </w:r>
    </w:p>
    <w:p>
      <w:pPr>
        <w:pStyle w:val="Heading2"/>
      </w:pPr>
      <w:r>
        <w:t>5.5  The MCAP refit — the EM2040 curve, measured directly</w:t>
      </w:r>
    </w:p>
    <w:p>
      <w:pPr>
        <w:spacing w:after="120"/>
      </w:pPr>
      <w:r>
        <w:rPr>
          <w:rFonts w:ascii="Arial" w:hAnsi="Arial"/>
          <w:b w:val="0"/>
          <w:i w:val="0"/>
          <w:sz w:val="20"/>
        </w:rPr>
        <w:t>With the EM2040 refitted to the vehicle, six days of MCAP logs (04–09 August 2026) provided the first fuel measurements ever taken in that configuration: 4.85 hours of steady straight-line cruise, flow-meter fuel rate against the PLC thruster-RPM channel — the shaft-RPM sensor was faulted throughout — with GPS speed over ground. Widening the evidence base from four days to six moved efficiency by ≤1% anywhere in 5–10 kt, which is the strongest confirmation available that the curve is real rather than merely fitted.</w:t>
      </w:r>
    </w:p>
    <w:p>
      <w:pPr>
        <w:spacing w:before="80" w:after="40"/>
        <w:ind w:left="432"/>
      </w:pPr>
      <w:r>
        <w:rPr>
          <w:rFonts w:ascii="Consolas" w:hAnsi="Consolas"/>
          <w:b/>
          <w:sz w:val="19"/>
        </w:rPr>
        <w:t>L/h  =  3.1135  −  0.0029201·RPM  +  1.3961×10⁻⁶·RPM²</w:t>
      </w:r>
    </w:p>
    <w:p>
      <w:pPr>
        <w:spacing w:after="160"/>
        <w:ind w:left="432"/>
      </w:pPr>
      <w:r>
        <w:rPr>
          <w:rFonts w:ascii="Arial" w:hAnsi="Arial"/>
          <w:i/>
          <w:color w:val="5B6B7A"/>
          <w:sz w:val="17"/>
        </w:rPr>
        <w:t>Measured EM2040 fuel law. R² 0.9933 on binned medians, valid 1280–3080 rpm.</w:t>
      </w:r>
    </w:p>
    <w:p>
      <w:pPr>
        <w:spacing w:before="80" w:after="40"/>
        <w:ind w:left="432"/>
      </w:pPr>
      <w:r>
        <w:rPr>
          <w:rFonts w:ascii="Consolas" w:hAnsi="Consolas"/>
          <w:b/>
          <w:sz w:val="19"/>
        </w:rPr>
        <w:t>kt  =  -0.4380  +  0.0039094·RPM</w:t>
      </w:r>
    </w:p>
    <w:p>
      <w:pPr>
        <w:spacing w:after="160"/>
        <w:ind w:left="432"/>
      </w:pPr>
      <w:r>
        <w:rPr>
          <w:rFonts w:ascii="Arial" w:hAnsi="Arial"/>
          <w:i/>
          <w:color w:val="5B6B7A"/>
          <w:sz w:val="17"/>
        </w:rPr>
        <w:t>Measured EM2040 speed law. R² 0.971; SOG-based, so it carries roughly ±5% tidal uncertainty.</w:t>
      </w:r>
    </w:p>
    <w:tbl>
      <w:tblPr>
        <w:tblW w:type="auto" w:w="0"/>
        <w:jc w:val="center"/>
        <w:tblLayout w:type="fixed"/>
        <w:tblLook w:firstColumn="1" w:firstRow="1" w:lastColumn="0" w:lastRow="0" w:noHBand="0" w:noVBand="1" w:val="04A0"/>
      </w:tblPr>
      <w:tblGrid>
        <w:gridCol w:w="3120"/>
        <w:gridCol w:w="3120"/>
        <w:gridCol w:w="3120"/>
      </w:tblGrid>
      <w:tr>
        <w:tc>
          <w:tcPr>
            <w:tcW w:type="dxa" w:w="2448"/>
            <w:shd w:val="clear" w:color="auto" w:fill="1F3B60"/>
          </w:tcPr>
          <w:p>
            <w:pPr>
              <w:spacing w:after="40"/>
            </w:pPr>
            <w:r/>
            <w:r>
              <w:rPr>
                <w:rFonts w:ascii="Arial" w:hAnsi="Arial"/>
                <w:b/>
                <w:color w:val="FFFFFF"/>
                <w:sz w:val="17"/>
              </w:rPr>
              <w:t>Quantity</w:t>
            </w:r>
          </w:p>
        </w:tc>
        <w:tc>
          <w:tcPr>
            <w:tcW w:type="dxa" w:w="3312"/>
            <w:shd w:val="clear" w:color="auto" w:fill="1F3B60"/>
          </w:tcPr>
          <w:p>
            <w:pPr>
              <w:spacing w:after="40"/>
              <w:jc w:val="right"/>
            </w:pPr>
            <w:r/>
            <w:r>
              <w:rPr>
                <w:rFonts w:ascii="Arial" w:hAnsi="Arial"/>
                <w:b/>
                <w:color w:val="FFFFFF"/>
                <w:sz w:val="17"/>
              </w:rPr>
              <w:t>EM2040 measured</w:t>
            </w:r>
          </w:p>
        </w:tc>
        <w:tc>
          <w:tcPr>
            <w:tcW w:type="dxa" w:w="2880"/>
            <w:shd w:val="clear" w:color="auto" w:fill="1F3B60"/>
          </w:tcPr>
          <w:p>
            <w:pPr>
              <w:spacing w:after="40"/>
              <w:jc w:val="right"/>
            </w:pPr>
            <w:r/>
            <w:r>
              <w:rPr>
                <w:rFonts w:ascii="Arial" w:hAnsi="Arial"/>
                <w:b/>
                <w:color w:val="FFFFFF"/>
                <w:sz w:val="17"/>
              </w:rPr>
              <w:t>EM712 measured</w:t>
            </w:r>
          </w:p>
        </w:tc>
      </w:tr>
      <w:tr>
        <w:tc>
          <w:tcPr>
            <w:tcW w:type="dxa" w:w="2448"/>
          </w:tcPr>
          <w:p>
            <w:pPr>
              <w:spacing w:after="40"/>
            </w:pPr>
            <w:r/>
            <w:r>
              <w:rPr>
                <w:rFonts w:ascii="Arial" w:hAnsi="Arial"/>
                <w:sz w:val="17"/>
              </w:rPr>
              <w:t>At 8 kt — RPM</w:t>
            </w:r>
          </w:p>
        </w:tc>
        <w:tc>
          <w:tcPr>
            <w:tcW w:type="dxa" w:w="3312"/>
          </w:tcPr>
          <w:p>
            <w:pPr>
              <w:spacing w:after="40"/>
              <w:jc w:val="right"/>
            </w:pPr>
            <w:r/>
            <w:r>
              <w:rPr>
                <w:rFonts w:ascii="Arial" w:hAnsi="Arial"/>
                <w:sz w:val="17"/>
              </w:rPr>
              <w:t>2158 (interpolation)</w:t>
            </w:r>
          </w:p>
        </w:tc>
        <w:tc>
          <w:tcPr>
            <w:tcW w:type="dxa" w:w="2880"/>
          </w:tcPr>
          <w:p>
            <w:pPr>
              <w:spacing w:after="40"/>
              <w:jc w:val="right"/>
            </w:pPr>
            <w:r/>
            <w:r>
              <w:rPr>
                <w:rFonts w:ascii="Arial" w:hAnsi="Arial"/>
                <w:sz w:val="17"/>
              </w:rPr>
              <w:t>2616 (extrapolated)</w:t>
            </w:r>
          </w:p>
        </w:tc>
      </w:tr>
      <w:tr>
        <w:tc>
          <w:tcPr>
            <w:tcW w:type="dxa" w:w="2448"/>
            <w:shd w:val="clear" w:color="auto" w:fill="F2F5F8"/>
          </w:tcPr>
          <w:p>
            <w:pPr>
              <w:spacing w:after="40"/>
            </w:pPr>
            <w:r/>
            <w:r>
              <w:rPr>
                <w:rFonts w:ascii="Arial" w:hAnsi="Arial"/>
                <w:sz w:val="17"/>
              </w:rPr>
              <w:t>At 8 kt — fuel</w:t>
            </w:r>
          </w:p>
        </w:tc>
        <w:tc>
          <w:tcPr>
            <w:tcW w:type="dxa" w:w="3312"/>
            <w:shd w:val="clear" w:color="auto" w:fill="F2F5F8"/>
          </w:tcPr>
          <w:p>
            <w:pPr>
              <w:spacing w:after="40"/>
              <w:jc w:val="right"/>
            </w:pPr>
            <w:r/>
            <w:r>
              <w:rPr>
                <w:rFonts w:ascii="Arial" w:hAnsi="Arial"/>
                <w:sz w:val="17"/>
              </w:rPr>
              <w:t>3.31 L/h</w:t>
            </w:r>
          </w:p>
        </w:tc>
        <w:tc>
          <w:tcPr>
            <w:tcW w:type="dxa" w:w="2880"/>
            <w:shd w:val="clear" w:color="auto" w:fill="F2F5F8"/>
          </w:tcPr>
          <w:p>
            <w:pPr>
              <w:spacing w:after="40"/>
              <w:jc w:val="right"/>
            </w:pPr>
            <w:r/>
            <w:r>
              <w:rPr>
                <w:rFonts w:ascii="Arial" w:hAnsi="Arial"/>
                <w:sz w:val="17"/>
              </w:rPr>
              <w:t>4.71 L/h</w:t>
            </w:r>
          </w:p>
        </w:tc>
      </w:tr>
      <w:tr>
        <w:tc>
          <w:tcPr>
            <w:tcW w:type="dxa" w:w="2448"/>
          </w:tcPr>
          <w:p>
            <w:pPr>
              <w:spacing w:after="40"/>
            </w:pPr>
            <w:r/>
            <w:r>
              <w:rPr>
                <w:rFonts w:ascii="Arial" w:hAnsi="Arial"/>
                <w:sz w:val="17"/>
              </w:rPr>
              <w:t>At 8 kt — efficiency</w:t>
            </w:r>
          </w:p>
        </w:tc>
        <w:tc>
          <w:tcPr>
            <w:tcW w:type="dxa" w:w="3312"/>
          </w:tcPr>
          <w:p>
            <w:pPr>
              <w:spacing w:after="40"/>
              <w:jc w:val="right"/>
            </w:pPr>
            <w:r/>
            <w:r>
              <w:rPr>
                <w:rFonts w:ascii="Arial" w:hAnsi="Arial"/>
                <w:sz w:val="17"/>
              </w:rPr>
              <w:t>2.41 NM/L</w:t>
            </w:r>
          </w:p>
        </w:tc>
        <w:tc>
          <w:tcPr>
            <w:tcW w:type="dxa" w:w="2880"/>
          </w:tcPr>
          <w:p>
            <w:pPr>
              <w:spacing w:after="40"/>
              <w:jc w:val="right"/>
            </w:pPr>
            <w:r/>
            <w:r>
              <w:rPr>
                <w:rFonts w:ascii="Arial" w:hAnsi="Arial"/>
                <w:sz w:val="17"/>
              </w:rPr>
              <w:t>1.70 NM/L</w:t>
            </w:r>
          </w:p>
        </w:tc>
      </w:tr>
      <w:tr>
        <w:tc>
          <w:tcPr>
            <w:tcW w:type="dxa" w:w="2448"/>
            <w:shd w:val="clear" w:color="auto" w:fill="F2F5F8"/>
          </w:tcPr>
          <w:p>
            <w:pPr>
              <w:spacing w:after="40"/>
            </w:pPr>
            <w:r/>
            <w:r>
              <w:rPr>
                <w:rFonts w:ascii="Arial" w:hAnsi="Arial"/>
                <w:sz w:val="17"/>
              </w:rPr>
              <w:t>Loiter (~1010 rpm)</w:t>
            </w:r>
          </w:p>
        </w:tc>
        <w:tc>
          <w:tcPr>
            <w:tcW w:type="dxa" w:w="3312"/>
            <w:shd w:val="clear" w:color="auto" w:fill="F2F5F8"/>
          </w:tcPr>
          <w:p>
            <w:pPr>
              <w:spacing w:after="40"/>
              <w:jc w:val="right"/>
            </w:pPr>
            <w:r/>
            <w:r>
              <w:rPr>
                <w:rFonts w:ascii="Arial" w:hAnsi="Arial"/>
                <w:sz w:val="17"/>
              </w:rPr>
              <w:t>1.05 L/h (38.8 h observed)</w:t>
            </w:r>
          </w:p>
        </w:tc>
        <w:tc>
          <w:tcPr>
            <w:tcW w:type="dxa" w:w="2880"/>
            <w:shd w:val="clear" w:color="auto" w:fill="F2F5F8"/>
          </w:tcPr>
          <w:p>
            <w:pPr>
              <w:spacing w:after="40"/>
              <w:jc w:val="right"/>
            </w:pPr>
            <w:r/>
            <w:r>
              <w:rPr>
                <w:rFonts w:ascii="Arial" w:hAnsi="Arial"/>
                <w:sz w:val="17"/>
              </w:rPr>
              <w:t>—</w:t>
            </w:r>
          </w:p>
        </w:tc>
      </w:tr>
    </w:tbl>
    <w:p>
      <w:pPr>
        <w:spacing w:after="200"/>
      </w:pPr>
      <w:r>
        <w:rPr>
          <w:rFonts w:ascii="Arial" w:hAnsi="Arial"/>
          <w:b w:val="0"/>
          <w:i/>
          <w:color w:val="5B6B7A"/>
          <w:sz w:val="16"/>
        </w:rPr>
        <w:t>Table 8b — The measured EM2040 curve against the EM712. The EM712 costs 1.42× the fuel per nautical mile at 8 kt on measured curves.</w:t>
      </w:r>
    </w:p>
    <w:p>
      <w:pPr>
        <w:jc w:val="center"/>
      </w:pPr>
      <w:r>
        <w:drawing>
          <wp:inline xmlns:a="http://schemas.openxmlformats.org/drawingml/2006/main" xmlns:pic="http://schemas.openxmlformats.org/drawingml/2006/picture">
            <wp:extent cx="5669280" cy="1743021"/>
            <wp:docPr id="8" name="Picture 8"/>
            <wp:cNvGraphicFramePr>
              <a:graphicFrameLocks noChangeAspect="1"/>
            </wp:cNvGraphicFramePr>
            <a:graphic>
              <a:graphicData uri="http://schemas.openxmlformats.org/drawingml/2006/picture">
                <pic:pic>
                  <pic:nvPicPr>
                    <pic:cNvPr id="0" name="fig12_mcap_refit.png"/>
                    <pic:cNvPicPr/>
                  </pic:nvPicPr>
                  <pic:blipFill>
                    <a:blip r:embed="rId16"/>
                    <a:stretch>
                      <a:fillRect/>
                    </a:stretch>
                  </pic:blipFill>
                  <pic:spPr>
                    <a:xfrm>
                      <a:off x="0" y="0"/>
                      <a:ext cx="5669280" cy="1743021"/>
                    </a:xfrm>
                    <a:prstGeom prst="rect"/>
                  </pic:spPr>
                </pic:pic>
              </a:graphicData>
            </a:graphic>
          </wp:inline>
        </w:drawing>
      </w:r>
    </w:p>
    <w:p>
      <w:pPr>
        <w:spacing w:after="240"/>
        <w:jc w:val="center"/>
      </w:pPr>
      <w:r>
        <w:rPr>
          <w:rFonts w:ascii="Arial" w:hAnsi="Arial"/>
          <w:b w:val="0"/>
          <w:i/>
          <w:color w:val="5B6B7A"/>
          <w:sz w:val="17"/>
        </w:rPr>
        <w:t>Figure 12 — The MCAP refit. Left: the measured quadratic fuel law with the loiter anchor. Centre: the measured speed law against the 2022 shakedown law. Right: the efficiency comparison across both gondolas.</w:t>
      </w:r>
    </w:p>
    <w:p>
      <w:pPr>
        <w:spacing w:after="120"/>
      </w:pPr>
      <w:r>
        <w:rPr>
          <w:rFonts w:ascii="Arial" w:hAnsi="Arial"/>
          <w:b w:val="0"/>
          <w:i w:val="0"/>
          <w:sz w:val="20"/>
        </w:rPr>
        <w:t>Two findings ride along. First, the vehicle's own static endurance model reads 6.54 L/h at 8 kn against the measured 3.31 — the onboard prediction runs about 2.0× rich for this configuration. Second, below about 4.6 kt (1280 rpm) there is no cruise data at all, only the loiter figure.</w:t>
      </w:r>
    </w:p>
    <w:p>
      <w:pPr>
        <w:pStyle w:val="Heading1"/>
      </w:pPr>
      <w:r>
        <w:t>6.  Tank volume, gauge span, and the litres between them</w:t>
      </w:r>
    </w:p>
    <w:p>
      <w:pPr>
        <w:pStyle w:val="Heading2"/>
      </w:pPr>
      <w:r>
        <w:t>6.1  The problem</w:t>
      </w:r>
    </w:p>
    <w:p>
      <w:pPr>
        <w:spacing w:after="120"/>
      </w:pPr>
      <w:r>
        <w:rPr>
          <w:rFonts w:ascii="Arial" w:hAnsi="Arial"/>
          <w:b w:val="0"/>
          <w:i w:val="0"/>
          <w:sz w:val="20"/>
        </w:rPr>
        <w:t>The 2022 operational log records tank level as a percentage. Over the 22.5-hour window it falls from 92.0% to 54.5% — 37.5 points. At the nominal 250 L that is 93.75 L consumed. But mapping each interval of that window through speed → 2022 RPM → the 2024 flow-meter curve predicts only 65.0 L for the same period. The gauge says the vehicle burned 1.44 times what the flow-meter curve says it should have.</w:t>
      </w:r>
    </w:p>
    <w:p>
      <w:pPr>
        <w:pStyle w:val="Heading2"/>
      </w:pPr>
      <w:r>
        <w:t>6.2  Independent evidence — the DD2024 refuel</w:t>
      </w:r>
    </w:p>
    <w:p>
      <w:pPr>
        <w:spacing w:after="120"/>
      </w:pPr>
      <w:r>
        <w:rPr>
          <w:rFonts w:ascii="Arial" w:hAnsi="Arial"/>
          <w:b w:val="0"/>
          <w:i w:val="0"/>
          <w:sz w:val="20"/>
        </w:rPr>
        <w:t>The source workbook contains a second, entirely separate handle on capacity. The DD2024 log records 185 L added to DriX-12, with the crew themselves flagging that the arithmetic did not work. Read the other way round, that event sizes the tank.</w:t>
      </w:r>
    </w:p>
    <w:tbl>
      <w:tblPr>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1F3B60"/>
          </w:tcPr>
          <w:p>
            <w:pPr>
              <w:spacing w:after="40"/>
            </w:pPr>
            <w:r/>
            <w:r>
              <w:rPr>
                <w:rFonts w:ascii="Arial" w:hAnsi="Arial"/>
                <w:b/>
                <w:color w:val="FFFFFF"/>
                <w:sz w:val="17"/>
              </w:rPr>
              <w:t>Quantity</w:t>
            </w:r>
          </w:p>
        </w:tc>
        <w:tc>
          <w:tcPr>
            <w:tcW w:type="dxa" w:w="1872"/>
            <w:shd w:val="clear" w:color="auto" w:fill="1F3B60"/>
          </w:tcPr>
          <w:p>
            <w:pPr>
              <w:spacing w:after="40"/>
              <w:jc w:val="right"/>
            </w:pPr>
            <w:r/>
            <w:r>
              <w:rPr>
                <w:rFonts w:ascii="Arial" w:hAnsi="Arial"/>
                <w:b/>
                <w:color w:val="FFFFFF"/>
                <w:sz w:val="17"/>
              </w:rPr>
              <w:t>Value</w:t>
            </w:r>
          </w:p>
        </w:tc>
        <w:tc>
          <w:tcPr>
            <w:tcW w:type="dxa" w:w="3888"/>
            <w:shd w:val="clear" w:color="auto" w:fill="1F3B60"/>
          </w:tcPr>
          <w:p>
            <w:pPr>
              <w:spacing w:after="40"/>
              <w:jc w:val="right"/>
            </w:pPr>
            <w:r/>
            <w:r>
              <w:rPr>
                <w:rFonts w:ascii="Arial" w:hAnsi="Arial"/>
                <w:b/>
                <w:color w:val="FFFFFF"/>
                <w:sz w:val="17"/>
              </w:rPr>
              <w:t>Note</w:t>
            </w:r>
          </w:p>
        </w:tc>
      </w:tr>
      <w:tr>
        <w:tc>
          <w:tcPr>
            <w:tcW w:type="dxa" w:w="2880"/>
          </w:tcPr>
          <w:p>
            <w:pPr>
              <w:spacing w:after="40"/>
            </w:pPr>
            <w:r/>
            <w:r>
              <w:rPr>
                <w:rFonts w:ascii="Arial" w:hAnsi="Arial"/>
                <w:sz w:val="17"/>
              </w:rPr>
              <w:t>Fuel added</w:t>
            </w:r>
          </w:p>
        </w:tc>
        <w:tc>
          <w:tcPr>
            <w:tcW w:type="dxa" w:w="1872"/>
          </w:tcPr>
          <w:p>
            <w:pPr>
              <w:spacing w:after="40"/>
              <w:jc w:val="right"/>
            </w:pPr>
            <w:r/>
            <w:r>
              <w:rPr>
                <w:rFonts w:ascii="Arial" w:hAnsi="Arial"/>
                <w:sz w:val="17"/>
              </w:rPr>
              <w:t>185 L</w:t>
            </w:r>
          </w:p>
        </w:tc>
        <w:tc>
          <w:tcPr>
            <w:tcW w:type="dxa" w:w="3888"/>
          </w:tcPr>
          <w:p>
            <w:pPr>
              <w:spacing w:after="40"/>
              <w:jc w:val="right"/>
            </w:pPr>
            <w:r/>
            <w:r>
              <w:rPr>
                <w:rFonts w:ascii="Arial" w:hAnsi="Arial"/>
                <w:sz w:val="17"/>
              </w:rPr>
              <w:t>As logged</w:t>
            </w:r>
          </w:p>
        </w:tc>
      </w:tr>
      <w:tr>
        <w:tc>
          <w:tcPr>
            <w:tcW w:type="dxa" w:w="2880"/>
            <w:shd w:val="clear" w:color="auto" w:fill="F2F5F8"/>
          </w:tcPr>
          <w:p>
            <w:pPr>
              <w:spacing w:after="40"/>
            </w:pPr>
            <w:r/>
            <w:r>
              <w:rPr>
                <w:rFonts w:ascii="Arial" w:hAnsi="Arial"/>
                <w:sz w:val="17"/>
              </w:rPr>
              <w:t>Indicated level before</w:t>
            </w:r>
          </w:p>
        </w:tc>
        <w:tc>
          <w:tcPr>
            <w:tcW w:type="dxa" w:w="1872"/>
            <w:shd w:val="clear" w:color="auto" w:fill="F2F5F8"/>
          </w:tcPr>
          <w:p>
            <w:pPr>
              <w:spacing w:after="40"/>
              <w:jc w:val="right"/>
            </w:pPr>
            <w:r/>
            <w:r>
              <w:rPr>
                <w:rFonts w:ascii="Arial" w:hAnsi="Arial"/>
                <w:sz w:val="17"/>
              </w:rPr>
              <w:t>9%</w:t>
            </w:r>
          </w:p>
        </w:tc>
        <w:tc>
          <w:tcPr>
            <w:tcW w:type="dxa" w:w="3888"/>
            <w:shd w:val="clear" w:color="auto" w:fill="F2F5F8"/>
          </w:tcPr>
          <w:p>
            <w:pPr>
              <w:spacing w:after="40"/>
              <w:jc w:val="right"/>
            </w:pPr>
            <w:r/>
            <w:r>
              <w:rPr>
                <w:rFonts w:ascii="Arial" w:hAnsi="Arial"/>
                <w:sz w:val="17"/>
              </w:rPr>
              <w:t>The figure questioned at the time</w:t>
            </w:r>
          </w:p>
        </w:tc>
      </w:tr>
      <w:tr>
        <w:tc>
          <w:tcPr>
            <w:tcW w:type="dxa" w:w="2880"/>
          </w:tcPr>
          <w:p>
            <w:pPr>
              <w:spacing w:after="40"/>
            </w:pPr>
            <w:r/>
            <w:r>
              <w:rPr>
                <w:rFonts w:ascii="Arial" w:hAnsi="Arial"/>
                <w:sz w:val="17"/>
              </w:rPr>
              <w:t>Indicated level after</w:t>
            </w:r>
          </w:p>
        </w:tc>
        <w:tc>
          <w:tcPr>
            <w:tcW w:type="dxa" w:w="1872"/>
          </w:tcPr>
          <w:p>
            <w:pPr>
              <w:spacing w:after="40"/>
              <w:jc w:val="right"/>
            </w:pPr>
            <w:r/>
            <w:r>
              <w:rPr>
                <w:rFonts w:ascii="Arial" w:hAnsi="Arial"/>
                <w:sz w:val="17"/>
              </w:rPr>
              <w:t>95–100%</w:t>
            </w:r>
          </w:p>
        </w:tc>
        <w:tc>
          <w:tcPr>
            <w:tcW w:type="dxa" w:w="3888"/>
          </w:tcPr>
          <w:p>
            <w:pPr>
              <w:spacing w:after="40"/>
              <w:jc w:val="right"/>
            </w:pPr>
            <w:r/>
            <w:r>
              <w:rPr>
                <w:rFonts w:ascii="Arial" w:hAnsi="Arial"/>
                <w:sz w:val="17"/>
              </w:rPr>
              <w:t>"at 95%, fluctuating 95-100"</w:t>
            </w:r>
          </w:p>
        </w:tc>
      </w:tr>
      <w:tr>
        <w:tc>
          <w:tcPr>
            <w:tcW w:type="dxa" w:w="2880"/>
            <w:shd w:val="clear" w:color="auto" w:fill="F2F5F8"/>
          </w:tcPr>
          <w:p>
            <w:pPr>
              <w:spacing w:after="40"/>
            </w:pPr>
            <w:r/>
            <w:r>
              <w:rPr>
                <w:rFonts w:ascii="Arial" w:hAnsi="Arial"/>
                <w:sz w:val="17"/>
              </w:rPr>
              <w:t>Span covered</w:t>
            </w:r>
          </w:p>
        </w:tc>
        <w:tc>
          <w:tcPr>
            <w:tcW w:type="dxa" w:w="1872"/>
            <w:shd w:val="clear" w:color="auto" w:fill="F2F5F8"/>
          </w:tcPr>
          <w:p>
            <w:pPr>
              <w:spacing w:after="40"/>
              <w:jc w:val="right"/>
            </w:pPr>
            <w:r/>
            <w:r>
              <w:rPr>
                <w:rFonts w:ascii="Arial" w:hAnsi="Arial"/>
                <w:sz w:val="17"/>
              </w:rPr>
              <w:t>86–91 pts</w:t>
            </w:r>
          </w:p>
        </w:tc>
        <w:tc>
          <w:tcPr>
            <w:tcW w:type="dxa" w:w="3888"/>
            <w:shd w:val="clear" w:color="auto" w:fill="F2F5F8"/>
          </w:tcPr>
          <w:p>
            <w:pPr>
              <w:spacing w:after="40"/>
              <w:jc w:val="right"/>
            </w:pPr>
            <w:r/>
            <w:r>
              <w:rPr>
                <w:rFonts w:ascii="Arial" w:hAnsi="Arial"/>
                <w:sz w:val="17"/>
              </w:rPr>
              <w:t>Against 74 points if the tank were truly 250 L</w:t>
            </w:r>
          </w:p>
        </w:tc>
      </w:tr>
      <w:tr>
        <w:tc>
          <w:tcPr>
            <w:tcW w:type="dxa" w:w="2880"/>
          </w:tcPr>
          <w:p>
            <w:pPr>
              <w:spacing w:after="40"/>
            </w:pPr>
            <w:r/>
            <w:r>
              <w:rPr>
                <w:rFonts w:ascii="Arial" w:hAnsi="Arial"/>
                <w:sz w:val="17"/>
              </w:rPr>
              <w:t>Implied capacity (to 95%)</w:t>
            </w:r>
          </w:p>
        </w:tc>
        <w:tc>
          <w:tcPr>
            <w:tcW w:type="dxa" w:w="1872"/>
          </w:tcPr>
          <w:p>
            <w:pPr>
              <w:spacing w:after="40"/>
              <w:jc w:val="right"/>
            </w:pPr>
            <w:r/>
            <w:r>
              <w:rPr>
                <w:rFonts w:ascii="Arial" w:hAnsi="Arial"/>
                <w:sz w:val="17"/>
              </w:rPr>
              <w:t>215.1 L</w:t>
            </w:r>
          </w:p>
        </w:tc>
        <w:tc>
          <w:tcPr>
            <w:tcW w:type="dxa" w:w="3888"/>
          </w:tcPr>
          <w:p>
            <w:pPr>
              <w:spacing w:after="40"/>
              <w:jc w:val="right"/>
            </w:pPr>
            <w:r/>
            <w:r>
              <w:rPr>
                <w:rFonts w:ascii="Arial" w:hAnsi="Arial"/>
                <w:sz w:val="17"/>
              </w:rPr>
            </w:r>
          </w:p>
        </w:tc>
      </w:tr>
      <w:tr>
        <w:tc>
          <w:tcPr>
            <w:tcW w:type="dxa" w:w="2880"/>
            <w:shd w:val="clear" w:color="auto" w:fill="F2F5F8"/>
          </w:tcPr>
          <w:p>
            <w:pPr>
              <w:spacing w:after="40"/>
            </w:pPr>
            <w:r/>
            <w:r>
              <w:rPr>
                <w:rFonts w:ascii="Arial" w:hAnsi="Arial"/>
                <w:sz w:val="17"/>
              </w:rPr>
              <w:t>Implied capacity (to 100%)</w:t>
            </w:r>
          </w:p>
        </w:tc>
        <w:tc>
          <w:tcPr>
            <w:tcW w:type="dxa" w:w="1872"/>
            <w:shd w:val="clear" w:color="auto" w:fill="F2F5F8"/>
          </w:tcPr>
          <w:p>
            <w:pPr>
              <w:spacing w:after="40"/>
              <w:jc w:val="right"/>
            </w:pPr>
            <w:r/>
            <w:r>
              <w:rPr>
                <w:rFonts w:ascii="Arial" w:hAnsi="Arial"/>
                <w:sz w:val="17"/>
              </w:rPr>
              <w:t>203.3 L</w:t>
            </w:r>
          </w:p>
        </w:tc>
        <w:tc>
          <w:tcPr>
            <w:tcW w:type="dxa" w:w="3888"/>
            <w:shd w:val="clear" w:color="auto" w:fill="F2F5F8"/>
          </w:tcPr>
          <w:p>
            <w:pPr>
              <w:spacing w:after="40"/>
              <w:jc w:val="right"/>
            </w:pPr>
            <w:r/>
            <w:r>
              <w:rPr>
                <w:rFonts w:ascii="Arial" w:hAnsi="Arial"/>
                <w:sz w:val="17"/>
              </w:rPr>
            </w:r>
          </w:p>
        </w:tc>
      </w:tr>
      <w:tr>
        <w:tc>
          <w:tcPr>
            <w:tcW w:type="dxa" w:w="2880"/>
          </w:tcPr>
          <w:p>
            <w:pPr>
              <w:spacing w:after="40"/>
            </w:pPr>
            <w:r/>
            <w:r>
              <w:rPr>
                <w:rFonts w:ascii="Arial" w:hAnsi="Arial"/>
                <w:sz w:val="17"/>
              </w:rPr>
              <w:t>Implied capacity (midpoint)</w:t>
            </w:r>
          </w:p>
        </w:tc>
        <w:tc>
          <w:tcPr>
            <w:tcW w:type="dxa" w:w="1872"/>
          </w:tcPr>
          <w:p>
            <w:pPr>
              <w:spacing w:after="40"/>
              <w:jc w:val="right"/>
            </w:pPr>
            <w:r/>
            <w:r>
              <w:rPr>
                <w:rFonts w:ascii="Arial" w:hAnsi="Arial"/>
                <w:sz w:val="17"/>
              </w:rPr>
              <w:t>209.0 L</w:t>
            </w:r>
          </w:p>
        </w:tc>
        <w:tc>
          <w:tcPr>
            <w:tcW w:type="dxa" w:w="3888"/>
          </w:tcPr>
          <w:p>
            <w:pPr>
              <w:spacing w:after="40"/>
              <w:jc w:val="right"/>
            </w:pPr>
            <w:r/>
            <w:r>
              <w:rPr>
                <w:rFonts w:ascii="Arial" w:hAnsi="Arial"/>
                <w:sz w:val="17"/>
              </w:rPr>
              <w:t>The single best estimate this event supports</w:t>
            </w:r>
          </w:p>
        </w:tc>
      </w:tr>
    </w:tbl>
    <w:p>
      <w:pPr>
        <w:spacing w:after="200"/>
      </w:pPr>
      <w:r>
        <w:rPr>
          <w:rFonts w:ascii="Arial" w:hAnsi="Arial"/>
          <w:b w:val="0"/>
          <w:i/>
          <w:color w:val="5B6B7A"/>
          <w:sz w:val="16"/>
        </w:rPr>
        <w:t>Table 9 — The refuel event, read as a capacity measurement.</w:t>
      </w:r>
    </w:p>
    <w:p>
      <w:pPr>
        <w:pStyle w:val="Heading2"/>
      </w:pPr>
      <w:r>
        <w:t>6.3  The gauge scale — measured; its linearity — not established</w:t>
      </w:r>
    </w:p>
    <w:tbl>
      <w:tblPr>
        <w:tblW w:type="auto" w:w="0"/>
        <w:jc w:val="center"/>
        <w:tblLook w:firstColumn="1" w:firstRow="1" w:lastColumn="0" w:lastRow="0" w:noHBand="0" w:noVBand="1" w:val="04A0"/>
      </w:tblPr>
      <w:tblGrid>
        <w:gridCol w:w="9360"/>
      </w:tblGrid>
      <w:tr>
        <w:trPr>
          <w:cantSplit/>
        </w:trPr>
        <w:tc>
          <w:tcPr>
            <w:tcW w:type="dxa" w:w="9072"/>
            <w:shd w:val="clear" w:color="auto" w:fill="FDF3E0"/>
          </w:tcPr>
          <w:p>
            <w:pPr>
              <w:spacing w:after="40"/>
            </w:pPr>
            <w:r/>
            <w:r>
              <w:rPr>
                <w:rFonts w:ascii="Arial" w:hAnsi="Arial"/>
                <w:b/>
                <w:color w:val="9A6400"/>
                <w:sz w:val="19"/>
              </w:rPr>
              <w:t>A correction to earlier editions of this report</w:t>
            </w:r>
          </w:p>
          <w:p>
            <w:pPr>
              <w:spacing w:after="40"/>
            </w:pPr>
            <w:r>
              <w:rPr>
                <w:rFonts w:ascii="Arial" w:hAnsi="Arial"/>
                <w:sz w:val="18"/>
              </w:rPr>
              <w:t>The section that stood here was titled "The gauge is non-linear" and inferred a band-dependent scale from two low-precision windows. The August 2026 calibration measured the scale directly across every day with material burn, and an error analysis of the per-day spread showed the apparent trend is 1.5σ — what noise produces routinely. The SCALE below is established. Non-linearity is UNRESOLVED: smaller than this measurement can see, which is not the same as absent. A float sender in a non-prismatic tank has every physical reason to be non-linear.</w:t>
            </w:r>
          </w:p>
        </w:tc>
      </w:tr>
    </w:tbl>
    <w:p>
      <w:pPr>
        <w:spacing w:after="120"/>
      </w:pPr>
    </w:p>
    <w:p>
      <w:pPr>
        <w:spacing w:after="120"/>
      </w:pPr>
      <w:r>
        <w:rPr>
          <w:rFonts w:ascii="Arial" w:hAnsi="Arial"/>
          <w:b w:val="0"/>
          <w:i w:val="0"/>
          <w:sz w:val="20"/>
        </w:rPr>
        <w:t>Expressing each source as litres per indicated point removes the capacity assumption entirely:</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024"/>
            <w:shd w:val="clear" w:color="auto" w:fill="1F3B60"/>
          </w:tcPr>
          <w:p>
            <w:pPr>
              <w:spacing w:after="40"/>
            </w:pPr>
            <w:r/>
            <w:r>
              <w:rPr>
                <w:rFonts w:ascii="Arial" w:hAnsi="Arial"/>
                <w:b/>
                <w:color w:val="FFFFFF"/>
                <w:sz w:val="17"/>
              </w:rPr>
              <w:t>Source</w:t>
            </w:r>
          </w:p>
        </w:tc>
        <w:tc>
          <w:tcPr>
            <w:tcW w:type="dxa" w:w="1512"/>
            <w:shd w:val="clear" w:color="auto" w:fill="1F3B60"/>
          </w:tcPr>
          <w:p>
            <w:pPr>
              <w:spacing w:after="40"/>
              <w:jc w:val="right"/>
            </w:pPr>
            <w:r/>
            <w:r>
              <w:rPr>
                <w:rFonts w:ascii="Arial" w:hAnsi="Arial"/>
                <w:b/>
                <w:color w:val="FFFFFF"/>
                <w:sz w:val="17"/>
              </w:rPr>
              <w:t>Band covered</w:t>
            </w:r>
          </w:p>
        </w:tc>
        <w:tc>
          <w:tcPr>
            <w:tcW w:type="dxa" w:w="864"/>
            <w:shd w:val="clear" w:color="auto" w:fill="1F3B60"/>
          </w:tcPr>
          <w:p>
            <w:pPr>
              <w:spacing w:after="40"/>
              <w:jc w:val="right"/>
            </w:pPr>
            <w:r/>
            <w:r>
              <w:rPr>
                <w:rFonts w:ascii="Arial" w:hAnsi="Arial"/>
                <w:b/>
                <w:color w:val="FFFFFF"/>
                <w:sz w:val="17"/>
              </w:rPr>
              <w:t>Points</w:t>
            </w:r>
          </w:p>
        </w:tc>
        <w:tc>
          <w:tcPr>
            <w:tcW w:type="dxa" w:w="864"/>
            <w:shd w:val="clear" w:color="auto" w:fill="1F3B60"/>
          </w:tcPr>
          <w:p>
            <w:pPr>
              <w:spacing w:after="40"/>
              <w:jc w:val="right"/>
            </w:pPr>
            <w:r/>
            <w:r>
              <w:rPr>
                <w:rFonts w:ascii="Arial" w:hAnsi="Arial"/>
                <w:b/>
                <w:color w:val="FFFFFF"/>
                <w:sz w:val="17"/>
              </w:rPr>
              <w:t>Litres</w:t>
            </w:r>
          </w:p>
        </w:tc>
        <w:tc>
          <w:tcPr>
            <w:tcW w:type="dxa" w:w="1512"/>
            <w:shd w:val="clear" w:color="auto" w:fill="1F3B60"/>
          </w:tcPr>
          <w:p>
            <w:pPr>
              <w:spacing w:after="40"/>
              <w:jc w:val="right"/>
            </w:pPr>
            <w:r/>
            <w:r>
              <w:rPr>
                <w:rFonts w:ascii="Arial" w:hAnsi="Arial"/>
                <w:b/>
                <w:color w:val="FFFFFF"/>
                <w:sz w:val="17"/>
              </w:rPr>
              <w:t>L per point</w:t>
            </w:r>
          </w:p>
        </w:tc>
        <w:tc>
          <w:tcPr>
            <w:tcW w:type="dxa" w:w="1584"/>
            <w:shd w:val="clear" w:color="auto" w:fill="1F3B60"/>
          </w:tcPr>
          <w:p>
            <w:pPr>
              <w:spacing w:after="40"/>
              <w:jc w:val="right"/>
            </w:pPr>
            <w:r/>
            <w:r>
              <w:rPr>
                <w:rFonts w:ascii="Arial" w:hAnsi="Arial"/>
                <w:b/>
                <w:color w:val="FFFFFF"/>
                <w:sz w:val="17"/>
              </w:rPr>
              <w:t>Implied capacity</w:t>
            </w:r>
          </w:p>
        </w:tc>
      </w:tr>
      <w:tr>
        <w:tc>
          <w:tcPr>
            <w:tcW w:type="dxa" w:w="3024"/>
          </w:tcPr>
          <w:p>
            <w:pPr>
              <w:spacing w:after="40"/>
            </w:pPr>
            <w:r/>
            <w:r>
              <w:rPr>
                <w:rFonts w:ascii="Arial" w:hAnsi="Arial"/>
                <w:sz w:val="17"/>
              </w:rPr>
              <w:t>2022 telemetry vs flow-meter curve</w:t>
            </w:r>
          </w:p>
        </w:tc>
        <w:tc>
          <w:tcPr>
            <w:tcW w:type="dxa" w:w="1512"/>
          </w:tcPr>
          <w:p>
            <w:pPr>
              <w:spacing w:after="40"/>
              <w:jc w:val="right"/>
            </w:pPr>
            <w:r/>
            <w:r>
              <w:rPr>
                <w:rFonts w:ascii="Arial" w:hAnsi="Arial"/>
                <w:sz w:val="17"/>
              </w:rPr>
              <w:t>54.5 – 92.0%</w:t>
            </w:r>
          </w:p>
        </w:tc>
        <w:tc>
          <w:tcPr>
            <w:tcW w:type="dxa" w:w="864"/>
          </w:tcPr>
          <w:p>
            <w:pPr>
              <w:spacing w:after="40"/>
              <w:jc w:val="right"/>
            </w:pPr>
            <w:r/>
            <w:r>
              <w:rPr>
                <w:rFonts w:ascii="Arial" w:hAnsi="Arial"/>
                <w:sz w:val="17"/>
              </w:rPr>
              <w:t>37.5</w:t>
            </w:r>
          </w:p>
        </w:tc>
        <w:tc>
          <w:tcPr>
            <w:tcW w:type="dxa" w:w="864"/>
          </w:tcPr>
          <w:p>
            <w:pPr>
              <w:spacing w:after="40"/>
              <w:jc w:val="right"/>
            </w:pPr>
            <w:r/>
            <w:r>
              <w:rPr>
                <w:rFonts w:ascii="Arial" w:hAnsi="Arial"/>
                <w:sz w:val="17"/>
              </w:rPr>
              <w:t>65.0</w:t>
            </w:r>
          </w:p>
        </w:tc>
        <w:tc>
          <w:tcPr>
            <w:tcW w:type="dxa" w:w="1512"/>
          </w:tcPr>
          <w:p>
            <w:pPr>
              <w:spacing w:after="40"/>
              <w:jc w:val="right"/>
            </w:pPr>
            <w:r/>
            <w:r>
              <w:rPr>
                <w:rFonts w:ascii="Arial" w:hAnsi="Arial"/>
                <w:sz w:val="17"/>
              </w:rPr>
              <w:t>1.734</w:t>
            </w:r>
          </w:p>
        </w:tc>
        <w:tc>
          <w:tcPr>
            <w:tcW w:type="dxa" w:w="1584"/>
          </w:tcPr>
          <w:p>
            <w:pPr>
              <w:spacing w:after="40"/>
              <w:jc w:val="right"/>
            </w:pPr>
            <w:r/>
            <w:r>
              <w:rPr>
                <w:rFonts w:ascii="Arial" w:hAnsi="Arial"/>
                <w:sz w:val="17"/>
              </w:rPr>
              <w:t>173.4 L</w:t>
            </w:r>
          </w:p>
        </w:tc>
      </w:tr>
      <w:tr>
        <w:tc>
          <w:tcPr>
            <w:tcW w:type="dxa" w:w="3024"/>
            <w:shd w:val="clear" w:color="auto" w:fill="F2F5F8"/>
          </w:tcPr>
          <w:p>
            <w:pPr>
              <w:spacing w:after="40"/>
            </w:pPr>
            <w:r/>
            <w:r>
              <w:rPr>
                <w:rFonts w:ascii="Arial" w:hAnsi="Arial"/>
                <w:sz w:val="17"/>
              </w:rPr>
              <w:t>DD2024 refuel event</w:t>
            </w:r>
          </w:p>
        </w:tc>
        <w:tc>
          <w:tcPr>
            <w:tcW w:type="dxa" w:w="1512"/>
            <w:shd w:val="clear" w:color="auto" w:fill="F2F5F8"/>
          </w:tcPr>
          <w:p>
            <w:pPr>
              <w:spacing w:after="40"/>
              <w:jc w:val="right"/>
            </w:pPr>
            <w:r/>
            <w:r>
              <w:rPr>
                <w:rFonts w:ascii="Arial" w:hAnsi="Arial"/>
                <w:sz w:val="17"/>
              </w:rPr>
              <w:t>9 – 97.5%</w:t>
            </w:r>
          </w:p>
        </w:tc>
        <w:tc>
          <w:tcPr>
            <w:tcW w:type="dxa" w:w="864"/>
            <w:shd w:val="clear" w:color="auto" w:fill="F2F5F8"/>
          </w:tcPr>
          <w:p>
            <w:pPr>
              <w:spacing w:after="40"/>
              <w:jc w:val="right"/>
            </w:pPr>
            <w:r/>
            <w:r>
              <w:rPr>
                <w:rFonts w:ascii="Arial" w:hAnsi="Arial"/>
                <w:sz w:val="17"/>
              </w:rPr>
              <w:t>88.5</w:t>
            </w:r>
          </w:p>
        </w:tc>
        <w:tc>
          <w:tcPr>
            <w:tcW w:type="dxa" w:w="864"/>
            <w:shd w:val="clear" w:color="auto" w:fill="F2F5F8"/>
          </w:tcPr>
          <w:p>
            <w:pPr>
              <w:spacing w:after="40"/>
              <w:jc w:val="right"/>
            </w:pPr>
            <w:r/>
            <w:r>
              <w:rPr>
                <w:rFonts w:ascii="Arial" w:hAnsi="Arial"/>
                <w:sz w:val="17"/>
              </w:rPr>
              <w:t>185.0</w:t>
            </w:r>
          </w:p>
        </w:tc>
        <w:tc>
          <w:tcPr>
            <w:tcW w:type="dxa" w:w="1512"/>
            <w:shd w:val="clear" w:color="auto" w:fill="F2F5F8"/>
          </w:tcPr>
          <w:p>
            <w:pPr>
              <w:spacing w:after="40"/>
              <w:jc w:val="right"/>
            </w:pPr>
            <w:r/>
            <w:r>
              <w:rPr>
                <w:rFonts w:ascii="Arial" w:hAnsi="Arial"/>
                <w:sz w:val="17"/>
              </w:rPr>
              <w:t>2.090</w:t>
            </w:r>
          </w:p>
        </w:tc>
        <w:tc>
          <w:tcPr>
            <w:tcW w:type="dxa" w:w="1584"/>
            <w:shd w:val="clear" w:color="auto" w:fill="F2F5F8"/>
          </w:tcPr>
          <w:p>
            <w:pPr>
              <w:spacing w:after="40"/>
              <w:jc w:val="right"/>
            </w:pPr>
            <w:r/>
            <w:r>
              <w:rPr>
                <w:rFonts w:ascii="Arial" w:hAnsi="Arial"/>
                <w:sz w:val="17"/>
              </w:rPr>
              <w:t>209.0 L</w:t>
            </w:r>
          </w:p>
        </w:tc>
      </w:tr>
      <w:tr>
        <w:tc>
          <w:tcPr>
            <w:tcW w:type="dxa" w:w="3024"/>
          </w:tcPr>
          <w:p>
            <w:pPr>
              <w:spacing w:after="40"/>
            </w:pPr>
            <w:r/>
            <w:r>
              <w:rPr>
                <w:rFonts w:ascii="Arial" w:hAnsi="Arial"/>
                <w:sz w:val="17"/>
              </w:rPr>
              <w:t>MCAP flow meter vs gauge (2026)</w:t>
            </w:r>
          </w:p>
        </w:tc>
        <w:tc>
          <w:tcPr>
            <w:tcW w:type="dxa" w:w="1512"/>
          </w:tcPr>
          <w:p>
            <w:pPr>
              <w:spacing w:after="40"/>
              <w:jc w:val="right"/>
            </w:pPr>
            <w:r/>
            <w:r>
              <w:rPr>
                <w:rFonts w:ascii="Arial" w:hAnsi="Arial"/>
                <w:sz w:val="17"/>
              </w:rPr>
              <w:t>72 – 86%</w:t>
            </w:r>
          </w:p>
        </w:tc>
        <w:tc>
          <w:tcPr>
            <w:tcW w:type="dxa" w:w="864"/>
          </w:tcPr>
          <w:p>
            <w:pPr>
              <w:spacing w:after="40"/>
              <w:jc w:val="right"/>
            </w:pPr>
            <w:r/>
            <w:r>
              <w:rPr>
                <w:rFonts w:ascii="Arial" w:hAnsi="Arial"/>
                <w:sz w:val="17"/>
              </w:rPr>
              <w:t>—</w:t>
            </w:r>
          </w:p>
        </w:tc>
        <w:tc>
          <w:tcPr>
            <w:tcW w:type="dxa" w:w="864"/>
          </w:tcPr>
          <w:p>
            <w:pPr>
              <w:spacing w:after="40"/>
              <w:jc w:val="right"/>
            </w:pPr>
            <w:r/>
            <w:r>
              <w:rPr>
                <w:rFonts w:ascii="Arial" w:hAnsi="Arial"/>
                <w:sz w:val="17"/>
              </w:rPr>
              <w:t>—</w:t>
            </w:r>
          </w:p>
        </w:tc>
        <w:tc>
          <w:tcPr>
            <w:tcW w:type="dxa" w:w="1512"/>
          </w:tcPr>
          <w:p>
            <w:pPr>
              <w:spacing w:after="40"/>
              <w:jc w:val="right"/>
            </w:pPr>
            <w:r/>
            <w:r>
              <w:rPr>
                <w:rFonts w:ascii="Arial" w:hAnsi="Arial"/>
                <w:sz w:val="17"/>
              </w:rPr>
              <w:t>2.060 ± 0.11</w:t>
            </w:r>
          </w:p>
        </w:tc>
        <w:tc>
          <w:tcPr>
            <w:tcW w:type="dxa" w:w="1584"/>
          </w:tcPr>
          <w:p>
            <w:pPr>
              <w:spacing w:after="40"/>
              <w:jc w:val="right"/>
            </w:pPr>
            <w:r/>
            <w:r>
              <w:rPr>
                <w:rFonts w:ascii="Arial" w:hAnsi="Arial"/>
                <w:sz w:val="17"/>
              </w:rPr>
              <w:t>250.0 L</w:t>
            </w:r>
          </w:p>
        </w:tc>
      </w:tr>
      <w:tr>
        <w:tc>
          <w:tcPr>
            <w:tcW w:type="dxa" w:w="3024"/>
            <w:shd w:val="clear" w:color="auto" w:fill="FDF3E0"/>
          </w:tcPr>
          <w:p>
            <w:pPr>
              <w:spacing w:after="40"/>
            </w:pPr>
            <w:r/>
            <w:r>
              <w:rPr>
                <w:rFonts w:ascii="Arial" w:hAnsi="Arial"/>
                <w:sz w:val="17"/>
              </w:rPr>
              <w:t>Nominal, if the gauge were linear</w:t>
            </w:r>
          </w:p>
        </w:tc>
        <w:tc>
          <w:tcPr>
            <w:tcW w:type="dxa" w:w="1512"/>
            <w:shd w:val="clear" w:color="auto" w:fill="FDF3E0"/>
          </w:tcPr>
          <w:p>
            <w:pPr>
              <w:spacing w:after="40"/>
              <w:jc w:val="right"/>
            </w:pPr>
            <w:r/>
            <w:r>
              <w:rPr>
                <w:rFonts w:ascii="Arial" w:hAnsi="Arial"/>
                <w:sz w:val="17"/>
              </w:rPr>
              <w:t>0 – 100%</w:t>
            </w:r>
          </w:p>
        </w:tc>
        <w:tc>
          <w:tcPr>
            <w:tcW w:type="dxa" w:w="864"/>
            <w:shd w:val="clear" w:color="auto" w:fill="FDF3E0"/>
          </w:tcPr>
          <w:p>
            <w:pPr>
              <w:spacing w:after="40"/>
              <w:jc w:val="right"/>
            </w:pPr>
            <w:r/>
            <w:r>
              <w:rPr>
                <w:rFonts w:ascii="Arial" w:hAnsi="Arial"/>
                <w:sz w:val="17"/>
              </w:rPr>
              <w:t>100</w:t>
            </w:r>
          </w:p>
        </w:tc>
        <w:tc>
          <w:tcPr>
            <w:tcW w:type="dxa" w:w="864"/>
            <w:shd w:val="clear" w:color="auto" w:fill="FDF3E0"/>
          </w:tcPr>
          <w:p>
            <w:pPr>
              <w:spacing w:after="40"/>
              <w:jc w:val="right"/>
            </w:pPr>
            <w:r/>
            <w:r>
              <w:rPr>
                <w:rFonts w:ascii="Arial" w:hAnsi="Arial"/>
                <w:sz w:val="17"/>
              </w:rPr>
              <w:t>250.0</w:t>
            </w:r>
          </w:p>
        </w:tc>
        <w:tc>
          <w:tcPr>
            <w:tcW w:type="dxa" w:w="1512"/>
            <w:shd w:val="clear" w:color="auto" w:fill="FDF3E0"/>
          </w:tcPr>
          <w:p>
            <w:pPr>
              <w:spacing w:after="40"/>
              <w:jc w:val="right"/>
            </w:pPr>
            <w:r/>
            <w:r>
              <w:rPr>
                <w:rFonts w:ascii="Arial" w:hAnsi="Arial"/>
                <w:sz w:val="17"/>
              </w:rPr>
              <w:t>2.500</w:t>
            </w:r>
          </w:p>
        </w:tc>
        <w:tc>
          <w:tcPr>
            <w:tcW w:type="dxa" w:w="1584"/>
            <w:shd w:val="clear" w:color="auto" w:fill="FDF3E0"/>
          </w:tcPr>
          <w:p>
            <w:pPr>
              <w:spacing w:after="40"/>
              <w:jc w:val="right"/>
            </w:pPr>
            <w:r/>
            <w:r>
              <w:rPr>
                <w:rFonts w:ascii="Arial" w:hAnsi="Arial"/>
                <w:sz w:val="17"/>
              </w:rPr>
              <w:t>250.0 L</w:t>
            </w:r>
          </w:p>
        </w:tc>
      </w:tr>
    </w:tbl>
    <w:p>
      <w:pPr>
        <w:spacing w:after="200"/>
      </w:pPr>
      <w:r>
        <w:rPr>
          <w:rFonts w:ascii="Arial" w:hAnsi="Arial"/>
          <w:b w:val="0"/>
          <w:i/>
          <w:color w:val="5B6B7A"/>
          <w:sz w:val="16"/>
        </w:rPr>
        <w:t>Table 10 — Litres per indicated point, by source.</w:t>
      </w:r>
    </w:p>
    <w:p>
      <w:pPr>
        <w:spacing w:after="120"/>
      </w:pPr>
      <w:r>
        <w:rPr>
          <w:rFonts w:ascii="Arial" w:hAnsi="Arial"/>
          <w:b w:val="0"/>
          <w:i w:val="0"/>
          <w:sz w:val="20"/>
        </w:rPr>
        <w:t>The 2026 measurement is the one that settles it, because it assumes no capacity and no fuel model: 2.06 ± 0.11 L per indicated point, 4σ below the 2.50 a linear 250 L tank requires, and agreeing with the wholly independent DD2024 figure of 2.09 to 0.3σ.</w:t>
      </w:r>
    </w:p>
    <w:p>
      <w:pPr>
        <w:spacing w:after="120"/>
      </w:pPr>
      <w:r>
        <w:rPr>
          <w:rFonts w:ascii="Arial" w:hAnsi="Arial"/>
          <w:b w:val="0"/>
          <w:i w:val="0"/>
          <w:sz w:val="20"/>
        </w:rPr>
        <w:t>The per-day figures that once looked like a trend are set out below with their uncertainties, which is what the earlier reading omitted.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1F3B60"/>
          </w:tcPr>
          <w:p>
            <w:pPr>
              <w:spacing w:after="40"/>
            </w:pPr>
            <w:r/>
            <w:r>
              <w:rPr>
                <w:rFonts w:ascii="Arial" w:hAnsi="Arial"/>
                <w:b/>
                <w:color w:val="FFFFFF"/>
                <w:sz w:val="17"/>
              </w:rPr>
              <w:t>Day</w:t>
            </w:r>
          </w:p>
        </w:tc>
        <w:tc>
          <w:tcPr>
            <w:tcW w:type="dxa" w:w="1440"/>
            <w:shd w:val="clear" w:color="auto" w:fill="1F3B60"/>
          </w:tcPr>
          <w:p>
            <w:pPr>
              <w:spacing w:after="40"/>
              <w:jc w:val="right"/>
            </w:pPr>
            <w:r/>
            <w:r>
              <w:rPr>
                <w:rFonts w:ascii="Arial" w:hAnsi="Arial"/>
                <w:b/>
                <w:color w:val="FFFFFF"/>
                <w:sz w:val="17"/>
              </w:rPr>
              <w:t>Band</w:t>
            </w:r>
          </w:p>
        </w:tc>
        <w:tc>
          <w:tcPr>
            <w:tcW w:type="dxa" w:w="1440"/>
            <w:shd w:val="clear" w:color="auto" w:fill="1F3B60"/>
          </w:tcPr>
          <w:p>
            <w:pPr>
              <w:spacing w:after="40"/>
              <w:jc w:val="right"/>
            </w:pPr>
            <w:r/>
            <w:r>
              <w:rPr>
                <w:rFonts w:ascii="Arial" w:hAnsi="Arial"/>
                <w:b/>
                <w:color w:val="FFFFFF"/>
                <w:sz w:val="17"/>
              </w:rPr>
              <w:t>L per point</w:t>
            </w:r>
          </w:p>
        </w:tc>
        <w:tc>
          <w:tcPr>
            <w:tcW w:type="dxa" w:w="1008"/>
            <w:shd w:val="clear" w:color="auto" w:fill="1F3B60"/>
          </w:tcPr>
          <w:p>
            <w:pPr>
              <w:spacing w:after="40"/>
              <w:jc w:val="right"/>
            </w:pPr>
            <w:r/>
            <w:r>
              <w:rPr>
                <w:rFonts w:ascii="Arial" w:hAnsi="Arial"/>
                <w:b/>
                <w:color w:val="FFFFFF"/>
                <w:sz w:val="17"/>
              </w:rPr>
              <w:t>±1σ</w:t>
            </w:r>
          </w:p>
        </w:tc>
        <w:tc>
          <w:tcPr>
            <w:tcW w:type="dxa" w:w="1152"/>
            <w:shd w:val="clear" w:color="auto" w:fill="1F3B60"/>
          </w:tcPr>
          <w:p>
            <w:pPr>
              <w:spacing w:after="40"/>
              <w:jc w:val="right"/>
            </w:pPr>
            <w:r/>
            <w:r>
              <w:rPr>
                <w:rFonts w:ascii="Arial" w:hAnsi="Arial"/>
                <w:b/>
                <w:color w:val="FFFFFF"/>
                <w:sz w:val="17"/>
              </w:rPr>
              <w:t>Relative</w:t>
            </w:r>
          </w:p>
        </w:tc>
      </w:tr>
      <w:tr>
        <w:tc>
          <w:tcPr>
            <w:tcW w:type="dxa" w:w="1728"/>
          </w:tcPr>
          <w:p>
            <w:pPr>
              <w:spacing w:after="40"/>
            </w:pPr>
            <w:r/>
            <w:r>
              <w:rPr>
                <w:rFonts w:ascii="Arial" w:hAnsi="Arial"/>
                <w:sz w:val="17"/>
              </w:rPr>
              <w:t>2026-08-05</w:t>
            </w:r>
          </w:p>
        </w:tc>
        <w:tc>
          <w:tcPr>
            <w:tcW w:type="dxa" w:w="1440"/>
          </w:tcPr>
          <w:p>
            <w:pPr>
              <w:spacing w:after="40"/>
              <w:jc w:val="right"/>
            </w:pPr>
            <w:r/>
            <w:r>
              <w:rPr>
                <w:rFonts w:ascii="Arial" w:hAnsi="Arial"/>
                <w:sz w:val="17"/>
              </w:rPr>
              <w:t>81–85%</w:t>
            </w:r>
          </w:p>
        </w:tc>
        <w:tc>
          <w:tcPr>
            <w:tcW w:type="dxa" w:w="1440"/>
          </w:tcPr>
          <w:p>
            <w:pPr>
              <w:spacing w:after="40"/>
              <w:jc w:val="right"/>
            </w:pPr>
            <w:r/>
            <w:r>
              <w:rPr>
                <w:rFonts w:ascii="Arial" w:hAnsi="Arial"/>
                <w:sz w:val="17"/>
              </w:rPr>
              <w:t>2.21</w:t>
            </w:r>
          </w:p>
        </w:tc>
        <w:tc>
          <w:tcPr>
            <w:tcW w:type="dxa" w:w="1008"/>
          </w:tcPr>
          <w:p>
            <w:pPr>
              <w:spacing w:after="40"/>
              <w:jc w:val="right"/>
            </w:pPr>
            <w:r/>
            <w:r>
              <w:rPr>
                <w:rFonts w:ascii="Arial" w:hAnsi="Arial"/>
                <w:sz w:val="17"/>
              </w:rPr>
              <w:t>0.39</w:t>
            </w:r>
          </w:p>
        </w:tc>
        <w:tc>
          <w:tcPr>
            <w:tcW w:type="dxa" w:w="1152"/>
          </w:tcPr>
          <w:p>
            <w:pPr>
              <w:spacing w:after="40"/>
              <w:jc w:val="right"/>
            </w:pPr>
            <w:r/>
            <w:r>
              <w:rPr>
                <w:rFonts w:ascii="Arial" w:hAnsi="Arial"/>
                <w:sz w:val="17"/>
              </w:rPr>
              <w:t>±18%</w:t>
            </w:r>
          </w:p>
        </w:tc>
      </w:tr>
      <w:tr>
        <w:tc>
          <w:tcPr>
            <w:tcW w:type="dxa" w:w="1728"/>
            <w:shd w:val="clear" w:color="auto" w:fill="F2F5F8"/>
          </w:tcPr>
          <w:p>
            <w:pPr>
              <w:spacing w:after="40"/>
            </w:pPr>
            <w:r/>
            <w:r>
              <w:rPr>
                <w:rFonts w:ascii="Arial" w:hAnsi="Arial"/>
                <w:sz w:val="17"/>
              </w:rPr>
              <w:t>2026-08-06</w:t>
            </w:r>
          </w:p>
        </w:tc>
        <w:tc>
          <w:tcPr>
            <w:tcW w:type="dxa" w:w="1440"/>
            <w:shd w:val="clear" w:color="auto" w:fill="F2F5F8"/>
          </w:tcPr>
          <w:p>
            <w:pPr>
              <w:spacing w:after="40"/>
              <w:jc w:val="right"/>
            </w:pPr>
            <w:r/>
            <w:r>
              <w:rPr>
                <w:rFonts w:ascii="Arial" w:hAnsi="Arial"/>
                <w:sz w:val="17"/>
              </w:rPr>
              <w:t>77–81%</w:t>
            </w:r>
          </w:p>
        </w:tc>
        <w:tc>
          <w:tcPr>
            <w:tcW w:type="dxa" w:w="1440"/>
            <w:shd w:val="clear" w:color="auto" w:fill="F2F5F8"/>
          </w:tcPr>
          <w:p>
            <w:pPr>
              <w:spacing w:after="40"/>
              <w:jc w:val="right"/>
            </w:pPr>
            <w:r/>
            <w:r>
              <w:rPr>
                <w:rFonts w:ascii="Arial" w:hAnsi="Arial"/>
                <w:sz w:val="17"/>
              </w:rPr>
              <w:t>2.40</w:t>
            </w:r>
          </w:p>
        </w:tc>
        <w:tc>
          <w:tcPr>
            <w:tcW w:type="dxa" w:w="1008"/>
            <w:shd w:val="clear" w:color="auto" w:fill="F2F5F8"/>
          </w:tcPr>
          <w:p>
            <w:pPr>
              <w:spacing w:after="40"/>
              <w:jc w:val="right"/>
            </w:pPr>
            <w:r/>
            <w:r>
              <w:rPr>
                <w:rFonts w:ascii="Arial" w:hAnsi="Arial"/>
                <w:sz w:val="17"/>
              </w:rPr>
              <w:t>0.42</w:t>
            </w:r>
          </w:p>
        </w:tc>
        <w:tc>
          <w:tcPr>
            <w:tcW w:type="dxa" w:w="1152"/>
            <w:shd w:val="clear" w:color="auto" w:fill="F2F5F8"/>
          </w:tcPr>
          <w:p>
            <w:pPr>
              <w:spacing w:after="40"/>
              <w:jc w:val="right"/>
            </w:pPr>
            <w:r/>
            <w:r>
              <w:rPr>
                <w:rFonts w:ascii="Arial" w:hAnsi="Arial"/>
                <w:sz w:val="17"/>
              </w:rPr>
              <w:t>±18%</w:t>
            </w:r>
          </w:p>
        </w:tc>
      </w:tr>
      <w:tr>
        <w:tc>
          <w:tcPr>
            <w:tcW w:type="dxa" w:w="1728"/>
          </w:tcPr>
          <w:p>
            <w:pPr>
              <w:spacing w:after="40"/>
            </w:pPr>
            <w:r/>
            <w:r>
              <w:rPr>
                <w:rFonts w:ascii="Arial" w:hAnsi="Arial"/>
                <w:sz w:val="17"/>
              </w:rPr>
              <w:t>2026-08-08</w:t>
            </w:r>
          </w:p>
        </w:tc>
        <w:tc>
          <w:tcPr>
            <w:tcW w:type="dxa" w:w="1440"/>
          </w:tcPr>
          <w:p>
            <w:pPr>
              <w:spacing w:after="40"/>
              <w:jc w:val="right"/>
            </w:pPr>
            <w:r/>
            <w:r>
              <w:rPr>
                <w:rFonts w:ascii="Arial" w:hAnsi="Arial"/>
                <w:sz w:val="17"/>
              </w:rPr>
              <w:t>72–77%</w:t>
            </w:r>
          </w:p>
        </w:tc>
        <w:tc>
          <w:tcPr>
            <w:tcW w:type="dxa" w:w="1440"/>
          </w:tcPr>
          <w:p>
            <w:pPr>
              <w:spacing w:after="40"/>
              <w:jc w:val="right"/>
            </w:pPr>
            <w:r/>
            <w:r>
              <w:rPr>
                <w:rFonts w:ascii="Arial" w:hAnsi="Arial"/>
                <w:sz w:val="17"/>
              </w:rPr>
              <w:t>1.66</w:t>
            </w:r>
          </w:p>
        </w:tc>
        <w:tc>
          <w:tcPr>
            <w:tcW w:type="dxa" w:w="1008"/>
          </w:tcPr>
          <w:p>
            <w:pPr>
              <w:spacing w:after="40"/>
              <w:jc w:val="right"/>
            </w:pPr>
            <w:r/>
            <w:r>
              <w:rPr>
                <w:rFonts w:ascii="Arial" w:hAnsi="Arial"/>
                <w:sz w:val="17"/>
              </w:rPr>
              <w:t>0.23</w:t>
            </w:r>
          </w:p>
        </w:tc>
        <w:tc>
          <w:tcPr>
            <w:tcW w:type="dxa" w:w="1152"/>
          </w:tcPr>
          <w:p>
            <w:pPr>
              <w:spacing w:after="40"/>
              <w:jc w:val="right"/>
            </w:pPr>
            <w:r/>
            <w:r>
              <w:rPr>
                <w:rFonts w:ascii="Arial" w:hAnsi="Arial"/>
                <w:sz w:val="17"/>
              </w:rPr>
              <w:t>±14%</w:t>
            </w:r>
          </w:p>
        </w:tc>
      </w:tr>
    </w:tbl>
    <w:p>
      <w:pPr>
        <w:spacing w:after="200"/>
      </w:pPr>
      <w:r>
        <w:rPr>
          <w:rFonts w:ascii="Arial" w:hAnsi="Arial"/>
          <w:b w:val="0"/>
          <w:i/>
          <w:color w:val="5B6B7A"/>
          <w:sz w:val="16"/>
        </w:rPr>
        <w:t>Table 10b — Per-day gauge scale. Each day spans only 4–5 indicated points, so each carries roughly ±18%. The widest separation is 1.5σ. Pooled, the figure is 2.06 ± 0.11.</w:t>
      </w:r>
    </w:p>
    <w:tbl>
      <w:tblPr>
        <w:tblW w:type="auto" w:w="0"/>
        <w:jc w:val="center"/>
        <w:tblLook w:firstColumn="1" w:firstRow="1" w:lastColumn="0" w:lastRow="0" w:noHBand="0" w:noVBand="1" w:val="04A0"/>
      </w:tblPr>
      <w:tblGrid>
        <w:gridCol w:w="9360"/>
      </w:tblGrid>
      <w:tr>
        <w:trPr>
          <w:cantSplit/>
        </w:trPr>
        <w:tc>
          <w:tcPr>
            <w:tcW w:type="dxa" w:w="9072"/>
            <w:shd w:val="clear" w:color="auto" w:fill="FDF3E0"/>
          </w:tcPr>
          <w:p>
            <w:pPr>
              <w:spacing w:after="40"/>
            </w:pPr>
            <w:r/>
            <w:r>
              <w:rPr>
                <w:rFonts w:ascii="Arial" w:hAnsi="Arial"/>
                <w:b/>
                <w:color w:val="9A6400"/>
                <w:sz w:val="19"/>
              </w:rPr>
              <w:t>What has never been measured</w:t>
            </w:r>
          </w:p>
          <w:p>
            <w:pPr>
              <w:spacing w:after="40"/>
            </w:pPr>
            <w:r>
              <w:rPr>
                <w:rFonts w:ascii="Arial" w:hAnsi="Arial"/>
                <w:sz w:val="18"/>
              </w:rPr>
              <w:t>Every gauge reading in this report comes from the top third of the tank — the 72–86% band and above. The 25% reserve band has no direct calibration at all, and because the reserve means the bottom of the gauge is almost never exercised, normal practice will never supply one. Only a deliberate drawdown or a tank sounding will.</w:t>
            </w:r>
          </w:p>
        </w:tc>
      </w:tr>
    </w:tbl>
    <w:p>
      <w:pPr>
        <w:spacing w:after="120"/>
      </w:pPr>
    </w:p>
    <w:p>
      <w:pPr>
        <w:pStyle w:val="Heading2"/>
      </w:pPr>
      <w:r>
        <w:t>6.4  One interval was doing most of the damage</w:t>
      </w:r>
    </w:p>
    <w:p>
      <w:pPr>
        <w:spacing w:after="120"/>
      </w:pPr>
      <w:r>
        <w:rPr>
          <w:rFonts w:ascii="Arial" w:hAnsi="Arial"/>
          <w:b w:val="0"/>
          <w:i w:val="0"/>
          <w:sz w:val="20"/>
        </w:rPr>
        <w:t>The first logged interval of the 2022 window runs from 92.0% to 82.5% in 1.73 hours: 9.5 points, a quarter of everything consumed, in 8% of the elapsed time, at 5.49 %/h against a window mean of 1.67 %/h. It is a 3.3× outlier, and it sits at the very top of the gauge immediately after fuelling.</w:t>
      </w:r>
    </w:p>
    <w:p>
      <w:pPr>
        <w:jc w:val="center"/>
      </w:pPr>
      <w:r>
        <w:drawing>
          <wp:inline xmlns:a="http://schemas.openxmlformats.org/drawingml/2006/main" xmlns:pic="http://schemas.openxmlformats.org/drawingml/2006/picture">
            <wp:extent cx="5669280" cy="2956779"/>
            <wp:docPr id="9" name="Picture 9"/>
            <wp:cNvGraphicFramePr>
              <a:graphicFrameLocks noChangeAspect="1"/>
            </wp:cNvGraphicFramePr>
            <a:graphic>
              <a:graphicData uri="http://schemas.openxmlformats.org/drawingml/2006/picture">
                <pic:pic>
                  <pic:nvPicPr>
                    <pic:cNvPr id="0" name="fig08_tank_trace_2022.png"/>
                    <pic:cNvPicPr/>
                  </pic:nvPicPr>
                  <pic:blipFill>
                    <a:blip r:embed="rId17"/>
                    <a:stretch>
                      <a:fillRect/>
                    </a:stretch>
                  </pic:blipFill>
                  <pic:spPr>
                    <a:xfrm>
                      <a:off x="0" y="0"/>
                      <a:ext cx="5669280" cy="2956779"/>
                    </a:xfrm>
                    <a:prstGeom prst="rect"/>
                  </pic:spPr>
                </pic:pic>
              </a:graphicData>
            </a:graphic>
          </wp:inline>
        </w:drawing>
      </w:r>
    </w:p>
    <w:p>
      <w:pPr>
        <w:spacing w:after="240"/>
        <w:jc w:val="center"/>
      </w:pPr>
      <w:r>
        <w:rPr>
          <w:rFonts w:ascii="Arial" w:hAnsi="Arial"/>
          <w:b w:val="0"/>
          <w:i/>
          <w:color w:val="5B6B7A"/>
          <w:sz w:val="17"/>
        </w:rPr>
        <w:t>Figure 8 — The 2022 tank trace. The highlighted first interval is the outlier; the long shallow middle section is the low-speed loiter, and the steeper final section the return to survey speed.</w:t>
      </w:r>
    </w:p>
    <w:p>
      <w:pPr>
        <w:spacing w:before="80" w:after="40"/>
        <w:ind w:left="432"/>
      </w:pPr>
      <w:r>
        <w:rPr>
          <w:rFonts w:ascii="Consolas" w:hAnsi="Consolas"/>
          <w:b/>
          <w:sz w:val="19"/>
        </w:rPr>
        <w:t>Full window:           65.04 L / 37.5 pts × 100  =  173.4 L</w:t>
        <w:br/>
        <w:t>Excluding interval 1:  57.36 L / 28.0 pts × 100  =  204.9 L</w:t>
      </w:r>
    </w:p>
    <w:p>
      <w:pPr>
        <w:spacing w:after="160"/>
        <w:ind w:left="432"/>
      </w:pPr>
      <w:r>
        <w:rPr>
          <w:rFonts w:ascii="Arial" w:hAnsi="Arial"/>
          <w:i/>
          <w:color w:val="5B6B7A"/>
          <w:sz w:val="17"/>
        </w:rPr>
        <w:t>Against the refuel event's 209.0 L, that is agreement to within 2.0% — from two sources that share no data, no vehicle and no year.</w:t>
      </w:r>
    </w:p>
    <w:p>
      <w:pPr>
        <w:jc w:val="center"/>
      </w:pPr>
      <w:r>
        <w:drawing>
          <wp:inline xmlns:a="http://schemas.openxmlformats.org/drawingml/2006/main" xmlns:pic="http://schemas.openxmlformats.org/drawingml/2006/picture">
            <wp:extent cx="5669280" cy="3231691"/>
            <wp:docPr id="10" name="Picture 10"/>
            <wp:cNvGraphicFramePr>
              <a:graphicFrameLocks noChangeAspect="1"/>
            </wp:cNvGraphicFramePr>
            <a:graphic>
              <a:graphicData uri="http://schemas.openxmlformats.org/drawingml/2006/picture">
                <pic:pic>
                  <pic:nvPicPr>
                    <pic:cNvPr id="0" name="fig09_capacity.png"/>
                    <pic:cNvPicPr/>
                  </pic:nvPicPr>
                  <pic:blipFill>
                    <a:blip r:embed="rId18"/>
                    <a:stretch>
                      <a:fillRect/>
                    </a:stretch>
                  </pic:blipFill>
                  <pic:spPr>
                    <a:xfrm>
                      <a:off x="0" y="0"/>
                      <a:ext cx="5669280" cy="3231691"/>
                    </a:xfrm>
                    <a:prstGeom prst="rect"/>
                  </pic:spPr>
                </pic:pic>
              </a:graphicData>
            </a:graphic>
          </wp:inline>
        </w:drawing>
      </w:r>
    </w:p>
    <w:p>
      <w:pPr>
        <w:spacing w:after="240"/>
        <w:jc w:val="center"/>
      </w:pPr>
      <w:r>
        <w:rPr>
          <w:rFonts w:ascii="Arial" w:hAnsi="Arial"/>
          <w:b w:val="0"/>
          <w:i/>
          <w:color w:val="5B6B7A"/>
          <w:sz w:val="17"/>
        </w:rPr>
        <w:t>Figure 9 — The first four bars are what 100 indicated points are worth, measured three independent ways. The last is the physical tank from the engineering drawings. The gap between them is the ~44 L the gauge does not account for.</w:t>
      </w:r>
    </w:p>
    <w:p>
      <w:pPr>
        <w:pStyle w:val="Heading2"/>
      </w:pPr>
      <w:r>
        <w:t>6.5  Reconciliation</w:t>
      </w:r>
    </w:p>
    <w:p>
      <w:pPr>
        <w:spacing w:after="120"/>
      </w:pPr>
      <w:r>
        <w:rPr>
          <w:rFonts w:ascii="Arial" w:hAnsi="Arial"/>
          <w:b w:val="0"/>
          <w:i w:val="0"/>
          <w:sz w:val="20"/>
        </w:rPr>
        <w:t>The remaining question is how much of the residual gap is real in-service burn rather than capacity. That is answered by asking what RPM premium each assumed capacity requires.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160"/>
            <w:shd w:val="clear" w:color="auto" w:fill="1F3B60"/>
          </w:tcPr>
          <w:p>
            <w:pPr>
              <w:spacing w:after="40"/>
            </w:pPr>
            <w:r/>
            <w:r>
              <w:rPr>
                <w:rFonts w:ascii="Arial" w:hAnsi="Arial"/>
                <w:b/>
                <w:color w:val="FFFFFF"/>
                <w:sz w:val="17"/>
              </w:rPr>
              <w:t>Capacity basis</w:t>
            </w:r>
          </w:p>
        </w:tc>
        <w:tc>
          <w:tcPr>
            <w:tcW w:type="dxa" w:w="1080"/>
            <w:shd w:val="clear" w:color="auto" w:fill="1F3B60"/>
          </w:tcPr>
          <w:p>
            <w:pPr>
              <w:spacing w:after="40"/>
              <w:jc w:val="right"/>
            </w:pPr>
            <w:r/>
            <w:r>
              <w:rPr>
                <w:rFonts w:ascii="Arial" w:hAnsi="Arial"/>
                <w:b/>
                <w:color w:val="FFFFFF"/>
                <w:sz w:val="17"/>
              </w:rPr>
              <w:t>Capacity</w:t>
            </w:r>
          </w:p>
        </w:tc>
        <w:tc>
          <w:tcPr>
            <w:tcW w:type="dxa" w:w="1080"/>
            <w:shd w:val="clear" w:color="auto" w:fill="1F3B60"/>
          </w:tcPr>
          <w:p>
            <w:pPr>
              <w:spacing w:after="40"/>
              <w:jc w:val="right"/>
            </w:pPr>
            <w:r/>
            <w:r>
              <w:rPr>
                <w:rFonts w:ascii="Arial" w:hAnsi="Arial"/>
                <w:b/>
                <w:color w:val="FFFFFF"/>
                <w:sz w:val="17"/>
              </w:rPr>
              <w:t>2022 burn</w:t>
            </w:r>
          </w:p>
        </w:tc>
        <w:tc>
          <w:tcPr>
            <w:tcW w:type="dxa" w:w="720"/>
            <w:shd w:val="clear" w:color="auto" w:fill="1F3B60"/>
          </w:tcPr>
          <w:p>
            <w:pPr>
              <w:spacing w:after="40"/>
              <w:jc w:val="right"/>
            </w:pPr>
            <w:r/>
            <w:r>
              <w:rPr>
                <w:rFonts w:ascii="Arial" w:hAnsi="Arial"/>
                <w:b/>
                <w:color w:val="FFFFFF"/>
                <w:sz w:val="17"/>
              </w:rPr>
              <w:t>L/h</w:t>
            </w:r>
          </w:p>
        </w:tc>
        <w:tc>
          <w:tcPr>
            <w:tcW w:type="dxa" w:w="864"/>
            <w:shd w:val="clear" w:color="auto" w:fill="1F3B60"/>
          </w:tcPr>
          <w:p>
            <w:pPr>
              <w:spacing w:after="40"/>
              <w:jc w:val="right"/>
            </w:pPr>
            <w:r/>
            <w:r>
              <w:rPr>
                <w:rFonts w:ascii="Arial" w:hAnsi="Arial"/>
                <w:b/>
                <w:color w:val="FFFFFF"/>
                <w:sz w:val="17"/>
              </w:rPr>
              <w:t>× curve</w:t>
            </w:r>
          </w:p>
        </w:tc>
        <w:tc>
          <w:tcPr>
            <w:tcW w:type="dxa" w:w="1296"/>
            <w:shd w:val="clear" w:color="auto" w:fill="1F3B60"/>
          </w:tcPr>
          <w:p>
            <w:pPr>
              <w:spacing w:after="40"/>
              <w:jc w:val="right"/>
            </w:pPr>
            <w:r/>
            <w:r>
              <w:rPr>
                <w:rFonts w:ascii="Arial" w:hAnsi="Arial"/>
                <w:b/>
                <w:color w:val="FFFFFF"/>
                <w:sz w:val="17"/>
              </w:rPr>
              <w:t>RPM premium</w:t>
            </w:r>
          </w:p>
        </w:tc>
        <w:tc>
          <w:tcPr>
            <w:tcW w:type="dxa" w:w="2160"/>
            <w:shd w:val="clear" w:color="auto" w:fill="1F3B60"/>
          </w:tcPr>
          <w:p>
            <w:pPr>
              <w:spacing w:after="40"/>
              <w:jc w:val="right"/>
            </w:pPr>
            <w:r/>
            <w:r>
              <w:rPr>
                <w:rFonts w:ascii="Arial" w:hAnsi="Arial"/>
                <w:b/>
                <w:color w:val="FFFFFF"/>
                <w:sz w:val="17"/>
              </w:rPr>
              <w:t>Verdict</w:t>
            </w:r>
          </w:p>
        </w:tc>
      </w:tr>
      <w:tr>
        <w:tc>
          <w:tcPr>
            <w:tcW w:type="dxa" w:w="2160"/>
          </w:tcPr>
          <w:p>
            <w:pPr>
              <w:spacing w:after="40"/>
            </w:pPr>
            <w:r/>
            <w:r>
              <w:rPr>
                <w:rFonts w:ascii="Arial" w:hAnsi="Arial"/>
                <w:sz w:val="17"/>
              </w:rPr>
              <w:t>Physical tank (drawings)</w:t>
            </w:r>
          </w:p>
        </w:tc>
        <w:tc>
          <w:tcPr>
            <w:tcW w:type="dxa" w:w="1080"/>
          </w:tcPr>
          <w:p>
            <w:pPr>
              <w:spacing w:after="40"/>
              <w:jc w:val="right"/>
            </w:pPr>
            <w:r/>
            <w:r>
              <w:rPr>
                <w:rFonts w:ascii="Arial" w:hAnsi="Arial"/>
                <w:sz w:val="17"/>
              </w:rPr>
              <w:t>250.0 L</w:t>
            </w:r>
          </w:p>
        </w:tc>
        <w:tc>
          <w:tcPr>
            <w:tcW w:type="dxa" w:w="1080"/>
          </w:tcPr>
          <w:p>
            <w:pPr>
              <w:spacing w:after="40"/>
              <w:jc w:val="right"/>
            </w:pPr>
            <w:r/>
            <w:r>
              <w:rPr>
                <w:rFonts w:ascii="Arial" w:hAnsi="Arial"/>
                <w:sz w:val="17"/>
              </w:rPr>
              <w:t>93.8 L</w:t>
            </w:r>
          </w:p>
        </w:tc>
        <w:tc>
          <w:tcPr>
            <w:tcW w:type="dxa" w:w="720"/>
          </w:tcPr>
          <w:p>
            <w:pPr>
              <w:spacing w:after="40"/>
              <w:jc w:val="right"/>
            </w:pPr>
            <w:r/>
            <w:r>
              <w:rPr>
                <w:rFonts w:ascii="Arial" w:hAnsi="Arial"/>
                <w:sz w:val="17"/>
              </w:rPr>
              <w:t>4.17</w:t>
            </w:r>
          </w:p>
        </w:tc>
        <w:tc>
          <w:tcPr>
            <w:tcW w:type="dxa" w:w="864"/>
          </w:tcPr>
          <w:p>
            <w:pPr>
              <w:spacing w:after="40"/>
              <w:jc w:val="right"/>
            </w:pPr>
            <w:r/>
            <w:r>
              <w:rPr>
                <w:rFonts w:ascii="Arial" w:hAnsi="Arial"/>
                <w:sz w:val="17"/>
              </w:rPr>
              <w:t>1.44</w:t>
            </w:r>
          </w:p>
        </w:tc>
        <w:tc>
          <w:tcPr>
            <w:tcW w:type="dxa" w:w="1296"/>
          </w:tcPr>
          <w:p>
            <w:pPr>
              <w:spacing w:after="40"/>
              <w:jc w:val="right"/>
            </w:pPr>
            <w:r/>
            <w:r>
              <w:rPr>
                <w:rFonts w:ascii="Arial" w:hAnsi="Arial"/>
                <w:sz w:val="17"/>
              </w:rPr>
              <w:t>+27.3%</w:t>
            </w:r>
          </w:p>
        </w:tc>
        <w:tc>
          <w:tcPr>
            <w:tcW w:type="dxa" w:w="2160"/>
          </w:tcPr>
          <w:p>
            <w:pPr>
              <w:spacing w:after="40"/>
              <w:jc w:val="right"/>
            </w:pPr>
            <w:r/>
            <w:r>
              <w:rPr>
                <w:rFonts w:ascii="Arial" w:hAnsi="Arial"/>
                <w:sz w:val="17"/>
              </w:rPr>
              <w:t>Large for the conditions</w:t>
            </w:r>
          </w:p>
        </w:tc>
      </w:tr>
      <w:tr>
        <w:tc>
          <w:tcPr>
            <w:tcW w:type="dxa" w:w="2160"/>
            <w:shd w:val="clear" w:color="auto" w:fill="F2F5F8"/>
          </w:tcPr>
          <w:p>
            <w:pPr>
              <w:spacing w:after="40"/>
            </w:pPr>
            <w:r/>
            <w:r>
              <w:rPr>
                <w:rFonts w:ascii="Arial" w:hAnsi="Arial"/>
                <w:sz w:val="17"/>
              </w:rPr>
              <w:t>DD2024 refuel event</w:t>
            </w:r>
          </w:p>
        </w:tc>
        <w:tc>
          <w:tcPr>
            <w:tcW w:type="dxa" w:w="1080"/>
            <w:shd w:val="clear" w:color="auto" w:fill="F2F5F8"/>
          </w:tcPr>
          <w:p>
            <w:pPr>
              <w:spacing w:after="40"/>
              <w:jc w:val="right"/>
            </w:pPr>
            <w:r/>
            <w:r>
              <w:rPr>
                <w:rFonts w:ascii="Arial" w:hAnsi="Arial"/>
                <w:sz w:val="17"/>
              </w:rPr>
              <w:t>209.0 L</w:t>
            </w:r>
          </w:p>
        </w:tc>
        <w:tc>
          <w:tcPr>
            <w:tcW w:type="dxa" w:w="1080"/>
            <w:shd w:val="clear" w:color="auto" w:fill="F2F5F8"/>
          </w:tcPr>
          <w:p>
            <w:pPr>
              <w:spacing w:after="40"/>
              <w:jc w:val="right"/>
            </w:pPr>
            <w:r/>
            <w:r>
              <w:rPr>
                <w:rFonts w:ascii="Arial" w:hAnsi="Arial"/>
                <w:sz w:val="17"/>
              </w:rPr>
              <w:t>78.4 L</w:t>
            </w:r>
          </w:p>
        </w:tc>
        <w:tc>
          <w:tcPr>
            <w:tcW w:type="dxa" w:w="720"/>
            <w:shd w:val="clear" w:color="auto" w:fill="F2F5F8"/>
          </w:tcPr>
          <w:p>
            <w:pPr>
              <w:spacing w:after="40"/>
              <w:jc w:val="right"/>
            </w:pPr>
            <w:r/>
            <w:r>
              <w:rPr>
                <w:rFonts w:ascii="Arial" w:hAnsi="Arial"/>
                <w:sz w:val="17"/>
              </w:rPr>
              <w:t>3.48</w:t>
            </w:r>
          </w:p>
        </w:tc>
        <w:tc>
          <w:tcPr>
            <w:tcW w:type="dxa" w:w="864"/>
            <w:shd w:val="clear" w:color="auto" w:fill="F2F5F8"/>
          </w:tcPr>
          <w:p>
            <w:pPr>
              <w:spacing w:after="40"/>
              <w:jc w:val="right"/>
            </w:pPr>
            <w:r/>
            <w:r>
              <w:rPr>
                <w:rFonts w:ascii="Arial" w:hAnsi="Arial"/>
                <w:sz w:val="17"/>
              </w:rPr>
              <w:t>1.21</w:t>
            </w:r>
          </w:p>
        </w:tc>
        <w:tc>
          <w:tcPr>
            <w:tcW w:type="dxa" w:w="1296"/>
            <w:shd w:val="clear" w:color="auto" w:fill="F2F5F8"/>
          </w:tcPr>
          <w:p>
            <w:pPr>
              <w:spacing w:after="40"/>
              <w:jc w:val="right"/>
            </w:pPr>
            <w:r/>
            <w:r>
              <w:rPr>
                <w:rFonts w:ascii="Arial" w:hAnsi="Arial"/>
                <w:sz w:val="17"/>
              </w:rPr>
              <w:t>+12.7%</w:t>
            </w:r>
          </w:p>
        </w:tc>
        <w:tc>
          <w:tcPr>
            <w:tcW w:type="dxa" w:w="2160"/>
            <w:shd w:val="clear" w:color="auto" w:fill="F2F5F8"/>
          </w:tcPr>
          <w:p>
            <w:pPr>
              <w:spacing w:after="40"/>
              <w:jc w:val="right"/>
            </w:pPr>
            <w:r/>
            <w:r>
              <w:rPr>
                <w:rFonts w:ascii="Arial" w:hAnsi="Arial"/>
                <w:sz w:val="17"/>
              </w:rPr>
              <w:t>Plausible</w:t>
            </w:r>
          </w:p>
        </w:tc>
      </w:tr>
      <w:tr>
        <w:tc>
          <w:tcPr>
            <w:tcW w:type="dxa" w:w="2160"/>
          </w:tcPr>
          <w:p>
            <w:pPr>
              <w:spacing w:after="40"/>
            </w:pPr>
            <w:r/>
            <w:r>
              <w:rPr>
                <w:rFonts w:ascii="Arial" w:hAnsi="Arial"/>
                <w:sz w:val="17"/>
              </w:rPr>
              <w:t>2022 telemetry, 1st excluded</w:t>
            </w:r>
          </w:p>
        </w:tc>
        <w:tc>
          <w:tcPr>
            <w:tcW w:type="dxa" w:w="1080"/>
          </w:tcPr>
          <w:p>
            <w:pPr>
              <w:spacing w:after="40"/>
              <w:jc w:val="right"/>
            </w:pPr>
            <w:r/>
            <w:r>
              <w:rPr>
                <w:rFonts w:ascii="Arial" w:hAnsi="Arial"/>
                <w:sz w:val="17"/>
              </w:rPr>
              <w:t>204.9 L</w:t>
            </w:r>
          </w:p>
        </w:tc>
        <w:tc>
          <w:tcPr>
            <w:tcW w:type="dxa" w:w="1080"/>
          </w:tcPr>
          <w:p>
            <w:pPr>
              <w:spacing w:after="40"/>
              <w:jc w:val="right"/>
            </w:pPr>
            <w:r/>
            <w:r>
              <w:rPr>
                <w:rFonts w:ascii="Arial" w:hAnsi="Arial"/>
                <w:sz w:val="17"/>
              </w:rPr>
              <w:t>76.8 L</w:t>
            </w:r>
          </w:p>
        </w:tc>
        <w:tc>
          <w:tcPr>
            <w:tcW w:type="dxa" w:w="720"/>
          </w:tcPr>
          <w:p>
            <w:pPr>
              <w:spacing w:after="40"/>
              <w:jc w:val="right"/>
            </w:pPr>
            <w:r/>
            <w:r>
              <w:rPr>
                <w:rFonts w:ascii="Arial" w:hAnsi="Arial"/>
                <w:sz w:val="17"/>
              </w:rPr>
              <w:t>3.41</w:t>
            </w:r>
          </w:p>
        </w:tc>
        <w:tc>
          <w:tcPr>
            <w:tcW w:type="dxa" w:w="864"/>
          </w:tcPr>
          <w:p>
            <w:pPr>
              <w:spacing w:after="40"/>
              <w:jc w:val="right"/>
            </w:pPr>
            <w:r/>
            <w:r>
              <w:rPr>
                <w:rFonts w:ascii="Arial" w:hAnsi="Arial"/>
                <w:sz w:val="17"/>
              </w:rPr>
              <w:t>1.18</w:t>
            </w:r>
          </w:p>
        </w:tc>
        <w:tc>
          <w:tcPr>
            <w:tcW w:type="dxa" w:w="1296"/>
          </w:tcPr>
          <w:p>
            <w:pPr>
              <w:spacing w:after="40"/>
              <w:jc w:val="right"/>
            </w:pPr>
            <w:r/>
            <w:r>
              <w:rPr>
                <w:rFonts w:ascii="Arial" w:hAnsi="Arial"/>
                <w:sz w:val="17"/>
              </w:rPr>
              <w:t>+11.2%</w:t>
            </w:r>
          </w:p>
        </w:tc>
        <w:tc>
          <w:tcPr>
            <w:tcW w:type="dxa" w:w="2160"/>
          </w:tcPr>
          <w:p>
            <w:pPr>
              <w:spacing w:after="40"/>
              <w:jc w:val="right"/>
            </w:pPr>
            <w:r/>
            <w:r>
              <w:rPr>
                <w:rFonts w:ascii="Arial" w:hAnsi="Arial"/>
                <w:sz w:val="17"/>
              </w:rPr>
              <w:t>Plausible</w:t>
            </w:r>
          </w:p>
        </w:tc>
      </w:tr>
      <w:tr>
        <w:tc>
          <w:tcPr>
            <w:tcW w:type="dxa" w:w="2160"/>
            <w:shd w:val="clear" w:color="auto" w:fill="F2F5F8"/>
          </w:tcPr>
          <w:p>
            <w:pPr>
              <w:spacing w:after="40"/>
            </w:pPr>
            <w:r/>
            <w:r>
              <w:rPr>
                <w:rFonts w:ascii="Arial" w:hAnsi="Arial"/>
                <w:sz w:val="17"/>
              </w:rPr>
              <w:t>Makes 2022 agree exactly</w:t>
            </w:r>
          </w:p>
        </w:tc>
        <w:tc>
          <w:tcPr>
            <w:tcW w:type="dxa" w:w="1080"/>
            <w:shd w:val="clear" w:color="auto" w:fill="F2F5F8"/>
          </w:tcPr>
          <w:p>
            <w:pPr>
              <w:spacing w:after="40"/>
              <w:jc w:val="right"/>
            </w:pPr>
            <w:r/>
            <w:r>
              <w:rPr>
                <w:rFonts w:ascii="Arial" w:hAnsi="Arial"/>
                <w:sz w:val="17"/>
              </w:rPr>
              <w:t>173.4 L</w:t>
            </w:r>
          </w:p>
        </w:tc>
        <w:tc>
          <w:tcPr>
            <w:tcW w:type="dxa" w:w="1080"/>
            <w:shd w:val="clear" w:color="auto" w:fill="F2F5F8"/>
          </w:tcPr>
          <w:p>
            <w:pPr>
              <w:spacing w:after="40"/>
              <w:jc w:val="right"/>
            </w:pPr>
            <w:r/>
            <w:r>
              <w:rPr>
                <w:rFonts w:ascii="Arial" w:hAnsi="Arial"/>
                <w:sz w:val="17"/>
              </w:rPr>
              <w:t>65.0 L</w:t>
            </w:r>
          </w:p>
        </w:tc>
        <w:tc>
          <w:tcPr>
            <w:tcW w:type="dxa" w:w="720"/>
            <w:shd w:val="clear" w:color="auto" w:fill="F2F5F8"/>
          </w:tcPr>
          <w:p>
            <w:pPr>
              <w:spacing w:after="40"/>
              <w:jc w:val="right"/>
            </w:pPr>
            <w:r/>
            <w:r>
              <w:rPr>
                <w:rFonts w:ascii="Arial" w:hAnsi="Arial"/>
                <w:sz w:val="17"/>
              </w:rPr>
              <w:t>2.89</w:t>
            </w:r>
          </w:p>
        </w:tc>
        <w:tc>
          <w:tcPr>
            <w:tcW w:type="dxa" w:w="864"/>
            <w:shd w:val="clear" w:color="auto" w:fill="F2F5F8"/>
          </w:tcPr>
          <w:p>
            <w:pPr>
              <w:spacing w:after="40"/>
              <w:jc w:val="right"/>
            </w:pPr>
            <w:r/>
            <w:r>
              <w:rPr>
                <w:rFonts w:ascii="Arial" w:hAnsi="Arial"/>
                <w:sz w:val="17"/>
              </w:rPr>
              <w:t>1.00</w:t>
            </w:r>
          </w:p>
        </w:tc>
        <w:tc>
          <w:tcPr>
            <w:tcW w:type="dxa" w:w="1296"/>
            <w:shd w:val="clear" w:color="auto" w:fill="F2F5F8"/>
          </w:tcPr>
          <w:p>
            <w:pPr>
              <w:spacing w:after="40"/>
              <w:jc w:val="right"/>
            </w:pPr>
            <w:r/>
            <w:r>
              <w:rPr>
                <w:rFonts w:ascii="Arial" w:hAnsi="Arial"/>
                <w:sz w:val="17"/>
              </w:rPr>
              <w:t>0.0%</w:t>
            </w:r>
          </w:p>
        </w:tc>
        <w:tc>
          <w:tcPr>
            <w:tcW w:type="dxa" w:w="2160"/>
            <w:shd w:val="clear" w:color="auto" w:fill="F2F5F8"/>
          </w:tcPr>
          <w:p>
            <w:pPr>
              <w:spacing w:after="40"/>
              <w:jc w:val="right"/>
            </w:pPr>
            <w:r/>
            <w:r>
              <w:rPr>
                <w:rFonts w:ascii="Arial" w:hAnsi="Arial"/>
                <w:sz w:val="17"/>
              </w:rPr>
              <w:t>Implausibly tidy</w:t>
            </w:r>
          </w:p>
        </w:tc>
      </w:tr>
    </w:tbl>
    <w:p>
      <w:pPr>
        <w:spacing w:after="200"/>
      </w:pPr>
      <w:r>
        <w:rPr>
          <w:rFonts w:ascii="Arial" w:hAnsi="Arial"/>
          <w:b w:val="0"/>
          <w:i/>
          <w:color w:val="5B6B7A"/>
          <w:sz w:val="16"/>
        </w:rPr>
        <w:t>Table 11 — What each capacity requires of the environment.</w:t>
      </w:r>
    </w:p>
    <w:tbl>
      <w:tblPr>
        <w:tblW w:type="auto" w:w="0"/>
        <w:jc w:val="center"/>
        <w:tblLook w:firstColumn="1" w:firstRow="1" w:lastColumn="0" w:lastRow="0" w:noHBand="0" w:noVBand="1" w:val="04A0"/>
      </w:tblPr>
      <w:tblGrid>
        <w:gridCol w:w="9360"/>
      </w:tblGrid>
      <w:tr>
        <w:trPr>
          <w:cantSplit/>
        </w:trPr>
        <w:tc>
          <w:tcPr>
            <w:tcW w:type="dxa" w:w="9072"/>
            <w:shd w:val="clear" w:color="auto" w:fill="FDF3E0"/>
          </w:tcPr>
          <w:p>
            <w:pPr>
              <w:spacing w:after="40"/>
            </w:pPr>
            <w:r/>
            <w:r>
              <w:rPr>
                <w:rFonts w:ascii="Arial" w:hAnsi="Arial"/>
                <w:b/>
                <w:color w:val="9A6400"/>
                <w:sz w:val="19"/>
              </w:rPr>
              <w:t>Conclusion on capacity — restated on the drawings (2026-08-09)</w:t>
            </w:r>
          </w:p>
          <w:p>
            <w:pPr>
              <w:spacing w:after="40"/>
            </w:pPr>
            <w:r>
              <w:rPr>
                <w:rFonts w:ascii="Arial" w:hAnsi="Arial"/>
                <w:sz w:val="18"/>
              </w:rPr>
              <w:t>The physical tank is 250 L; that is settled and applies to every hull on every mission. What is NOT settled is how that volume maps onto the gauge. Three methods put 100 indicated points at 205–209 L, leaving about 44 L unaccounted for. Two readings fit: the gauge spans the tank and is non-linear, forcing the 86 unmeasured points to average 2.57 L/pt (+25% on the measured band); or the gauge covers only ~250 L and the rest sits outside its travel. Mission fuel to the floor is 186 L under the first and 186 L under the second — 0 L apart. THIS REPORT PLANS ON THE FIRST (Andy, 2026-08-09): the drawings are documentary evidence and outrank an extrapolation of one band. Note what that does to the dependency — under (A) a 20% error in the measured gauge scale moves mission fuel by about 1 L, because the profile re-normalises to the drawing volume, so planning now rests on the drawings rather than on the six days of calibration. It is an inference, and it is the one adopted value here that a drawdown could overturn: the two readings predict burns 25% apart over a span that resolves to 1.3%.</w:t>
            </w:r>
          </w:p>
        </w:tc>
      </w:tr>
    </w:tbl>
    <w:p>
      <w:pPr>
        <w:spacing w:after="120"/>
      </w:pPr>
    </w:p>
    <w:p>
      <w:pPr>
        <w:pStyle w:val="Heading1"/>
      </w:pPr>
      <w:r>
        <w:t>7.  Sea state and the RPM premium</w:t>
      </w:r>
    </w:p>
    <w:p>
      <w:pPr>
        <w:pStyle w:val="Heading2"/>
      </w:pPr>
      <w:r>
        <w:t>7.1  What was actually recorded</w:t>
      </w:r>
    </w:p>
    <w:p>
      <w:pPr>
        <w:spacing w:after="120"/>
      </w:pPr>
      <w:r>
        <w:rPr>
          <w:rFonts w:ascii="Arial" w:hAnsi="Arial"/>
          <w:b w:val="0"/>
          <w:i w:val="0"/>
          <w:sz w:val="20"/>
        </w:rPr>
        <w:t>The 2022 operational log carries wind and heave against every observation. Across the window wind ran 10.0 to 16.0 kt (mean 11.95) and heave 0.10 to 1.00 m (mean 0.47) — Beaufort 3 to 4, WMO sea state 2 to 3. Heave is vehicle vertical motion rather than significant wave height, so the WMO mapping is a proxy.</w:t>
      </w:r>
    </w:p>
    <w:p>
      <w:pPr>
        <w:spacing w:after="120"/>
      </w:pPr>
      <w:r>
        <w:rPr>
          <w:rFonts w:ascii="Arial" w:hAnsi="Arial"/>
          <w:b w:val="0"/>
          <w:i w:val="0"/>
          <w:sz w:val="20"/>
        </w:rPr>
        <w:t>The August 2026 MCAP material adds the other end of the scale. Across roughly 11,000 steady-cruise samples at heave standard deviations of 0.03–0.13 m, fuel residuals against the measured quadratic law show no motion-driven premium above a ±2% noise floor. The CALM ANCHOR is therefore measured; the slope into rough water is still not.</w:t>
      </w:r>
    </w:p>
    <w:p>
      <w:pPr>
        <w:pStyle w:val="Heading2"/>
      </w:pPr>
      <w:r>
        <w:t>7.2  The attempt to measure the relationship, and why it fails</w:t>
      </w:r>
    </w:p>
    <w:p>
      <w:pPr>
        <w:spacing w:after="120"/>
      </w:pPr>
      <w:r>
        <w:rPr>
          <w:rFonts w:ascii="Arial" w:hAnsi="Arial"/>
          <w:b w:val="0"/>
          <w:i w:val="0"/>
          <w:sz w:val="20"/>
        </w:rPr>
        <w:t>If sea state drives the premium, splitting the 2022 window by recorded heave should show the premium rising with heave. It does not.</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512"/>
            <w:shd w:val="clear" w:color="auto" w:fill="1F3B60"/>
          </w:tcPr>
          <w:p>
            <w:pPr>
              <w:spacing w:after="40"/>
            </w:pPr>
            <w:r/>
            <w:r>
              <w:rPr>
                <w:rFonts w:ascii="Arial" w:hAnsi="Arial"/>
                <w:b/>
                <w:color w:val="FFFFFF"/>
                <w:sz w:val="17"/>
              </w:rPr>
              <w:t>Heave band</w:t>
            </w:r>
          </w:p>
        </w:tc>
        <w:tc>
          <w:tcPr>
            <w:tcW w:type="dxa" w:w="1224"/>
            <w:shd w:val="clear" w:color="auto" w:fill="1F3B60"/>
          </w:tcPr>
          <w:p>
            <w:pPr>
              <w:spacing w:after="40"/>
              <w:jc w:val="right"/>
            </w:pPr>
            <w:r/>
            <w:r>
              <w:rPr>
                <w:rFonts w:ascii="Arial" w:hAnsi="Arial"/>
                <w:b/>
                <w:color w:val="FFFFFF"/>
                <w:sz w:val="17"/>
              </w:rPr>
              <w:t>Intervals</w:t>
            </w:r>
          </w:p>
        </w:tc>
        <w:tc>
          <w:tcPr>
            <w:tcW w:type="dxa" w:w="936"/>
            <w:shd w:val="clear" w:color="auto" w:fill="1F3B60"/>
          </w:tcPr>
          <w:p>
            <w:pPr>
              <w:spacing w:after="40"/>
              <w:jc w:val="right"/>
            </w:pPr>
            <w:r/>
            <w:r>
              <w:rPr>
                <w:rFonts w:ascii="Arial" w:hAnsi="Arial"/>
                <w:b/>
                <w:color w:val="FFFFFF"/>
                <w:sz w:val="17"/>
              </w:rPr>
              <w:t>Hours</w:t>
            </w:r>
          </w:p>
        </w:tc>
        <w:tc>
          <w:tcPr>
            <w:tcW w:type="dxa" w:w="1152"/>
            <w:shd w:val="clear" w:color="auto" w:fill="1F3B60"/>
          </w:tcPr>
          <w:p>
            <w:pPr>
              <w:spacing w:after="40"/>
              <w:jc w:val="right"/>
            </w:pPr>
            <w:r/>
            <w:r>
              <w:rPr>
                <w:rFonts w:ascii="Arial" w:hAnsi="Arial"/>
                <w:b/>
                <w:color w:val="FFFFFF"/>
                <w:sz w:val="17"/>
              </w:rPr>
              <w:t>Tank pts</w:t>
            </w:r>
          </w:p>
        </w:tc>
        <w:tc>
          <w:tcPr>
            <w:tcW w:type="dxa" w:w="1440"/>
            <w:shd w:val="clear" w:color="auto" w:fill="1F3B60"/>
          </w:tcPr>
          <w:p>
            <w:pPr>
              <w:spacing w:after="40"/>
              <w:jc w:val="right"/>
            </w:pPr>
            <w:r/>
            <w:r>
              <w:rPr>
                <w:rFonts w:ascii="Arial" w:hAnsi="Arial"/>
                <w:b/>
                <w:color w:val="FFFFFF"/>
                <w:sz w:val="17"/>
              </w:rPr>
              <w:t>Mean speed</w:t>
            </w:r>
          </w:p>
        </w:tc>
        <w:tc>
          <w:tcPr>
            <w:tcW w:type="dxa" w:w="1368"/>
            <w:shd w:val="clear" w:color="auto" w:fill="1F3B60"/>
          </w:tcPr>
          <w:p>
            <w:pPr>
              <w:spacing w:after="40"/>
              <w:jc w:val="right"/>
            </w:pPr>
            <w:r/>
            <w:r>
              <w:rPr>
                <w:rFonts w:ascii="Arial" w:hAnsi="Arial"/>
                <w:b/>
                <w:color w:val="FFFFFF"/>
                <w:sz w:val="17"/>
              </w:rPr>
              <w:t>Fuel (L/h)</w:t>
            </w:r>
          </w:p>
        </w:tc>
        <w:tc>
          <w:tcPr>
            <w:tcW w:type="dxa" w:w="1224"/>
            <w:shd w:val="clear" w:color="auto" w:fill="1F3B60"/>
          </w:tcPr>
          <w:p>
            <w:pPr>
              <w:spacing w:after="40"/>
              <w:jc w:val="right"/>
            </w:pPr>
            <w:r/>
            <w:r>
              <w:rPr>
                <w:rFonts w:ascii="Arial" w:hAnsi="Arial"/>
                <w:b/>
                <w:color w:val="FFFFFF"/>
                <w:sz w:val="17"/>
              </w:rPr>
              <w:t>Premium</w:t>
            </w:r>
          </w:p>
        </w:tc>
      </w:tr>
      <w:tr>
        <w:tc>
          <w:tcPr>
            <w:tcW w:type="dxa" w:w="1512"/>
          </w:tcPr>
          <w:p>
            <w:pPr>
              <w:spacing w:after="40"/>
            </w:pPr>
            <w:r/>
            <w:r>
              <w:rPr>
                <w:rFonts w:ascii="Arial" w:hAnsi="Arial"/>
                <w:sz w:val="17"/>
              </w:rPr>
              <w:t>≤ 0.3 m</w:t>
            </w:r>
          </w:p>
        </w:tc>
        <w:tc>
          <w:tcPr>
            <w:tcW w:type="dxa" w:w="1224"/>
          </w:tcPr>
          <w:p>
            <w:pPr>
              <w:spacing w:after="40"/>
              <w:jc w:val="right"/>
            </w:pPr>
            <w:r/>
            <w:r>
              <w:rPr>
                <w:rFonts w:ascii="Arial" w:hAnsi="Arial"/>
                <w:sz w:val="17"/>
              </w:rPr>
              <w:t>4</w:t>
            </w:r>
          </w:p>
        </w:tc>
        <w:tc>
          <w:tcPr>
            <w:tcW w:type="dxa" w:w="936"/>
          </w:tcPr>
          <w:p>
            <w:pPr>
              <w:spacing w:after="40"/>
              <w:jc w:val="right"/>
            </w:pPr>
            <w:r/>
            <w:r>
              <w:rPr>
                <w:rFonts w:ascii="Arial" w:hAnsi="Arial"/>
                <w:sz w:val="17"/>
              </w:rPr>
              <w:t>2.04</w:t>
            </w:r>
          </w:p>
        </w:tc>
        <w:tc>
          <w:tcPr>
            <w:tcW w:type="dxa" w:w="1152"/>
          </w:tcPr>
          <w:p>
            <w:pPr>
              <w:spacing w:after="40"/>
              <w:jc w:val="right"/>
            </w:pPr>
            <w:r/>
            <w:r>
              <w:rPr>
                <w:rFonts w:ascii="Arial" w:hAnsi="Arial"/>
                <w:sz w:val="17"/>
              </w:rPr>
              <w:t>6.0</w:t>
            </w:r>
          </w:p>
        </w:tc>
        <w:tc>
          <w:tcPr>
            <w:tcW w:type="dxa" w:w="1440"/>
          </w:tcPr>
          <w:p>
            <w:pPr>
              <w:spacing w:after="40"/>
              <w:jc w:val="right"/>
            </w:pPr>
            <w:r/>
            <w:r>
              <w:rPr>
                <w:rFonts w:ascii="Arial" w:hAnsi="Arial"/>
                <w:sz w:val="17"/>
              </w:rPr>
              <w:t>10.0 kt</w:t>
            </w:r>
          </w:p>
        </w:tc>
        <w:tc>
          <w:tcPr>
            <w:tcW w:type="dxa" w:w="1368"/>
          </w:tcPr>
          <w:p>
            <w:pPr>
              <w:spacing w:after="40"/>
              <w:jc w:val="right"/>
            </w:pPr>
            <w:r/>
            <w:r>
              <w:rPr>
                <w:rFonts w:ascii="Arial" w:hAnsi="Arial"/>
                <w:sz w:val="17"/>
              </w:rPr>
              <w:t>7.37</w:t>
            </w:r>
          </w:p>
        </w:tc>
        <w:tc>
          <w:tcPr>
            <w:tcW w:type="dxa" w:w="1224"/>
          </w:tcPr>
          <w:p>
            <w:pPr>
              <w:spacing w:after="40"/>
              <w:jc w:val="right"/>
            </w:pPr>
            <w:r/>
            <w:r>
              <w:rPr>
                <w:rFonts w:ascii="Arial" w:hAnsi="Arial"/>
                <w:sz w:val="17"/>
              </w:rPr>
              <w:t>+47.5%</w:t>
            </w:r>
          </w:p>
        </w:tc>
      </w:tr>
      <w:tr>
        <w:tc>
          <w:tcPr>
            <w:tcW w:type="dxa" w:w="1512"/>
            <w:shd w:val="clear" w:color="auto" w:fill="F2F5F8"/>
          </w:tcPr>
          <w:p>
            <w:pPr>
              <w:spacing w:after="40"/>
            </w:pPr>
            <w:r/>
            <w:r>
              <w:rPr>
                <w:rFonts w:ascii="Arial" w:hAnsi="Arial"/>
                <w:sz w:val="17"/>
              </w:rPr>
              <w:t>0.4 – 0.6 m</w:t>
            </w:r>
          </w:p>
        </w:tc>
        <w:tc>
          <w:tcPr>
            <w:tcW w:type="dxa" w:w="1224"/>
            <w:shd w:val="clear" w:color="auto" w:fill="F2F5F8"/>
          </w:tcPr>
          <w:p>
            <w:pPr>
              <w:spacing w:after="40"/>
              <w:jc w:val="right"/>
            </w:pPr>
            <w:r/>
            <w:r>
              <w:rPr>
                <w:rFonts w:ascii="Arial" w:hAnsi="Arial"/>
                <w:sz w:val="17"/>
              </w:rPr>
              <w:t>6</w:t>
            </w:r>
          </w:p>
        </w:tc>
        <w:tc>
          <w:tcPr>
            <w:tcW w:type="dxa" w:w="936"/>
            <w:shd w:val="clear" w:color="auto" w:fill="F2F5F8"/>
          </w:tcPr>
          <w:p>
            <w:pPr>
              <w:spacing w:after="40"/>
              <w:jc w:val="right"/>
            </w:pPr>
            <w:r/>
            <w:r>
              <w:rPr>
                <w:rFonts w:ascii="Arial" w:hAnsi="Arial"/>
                <w:sz w:val="17"/>
              </w:rPr>
              <w:t>4.27</w:t>
            </w:r>
          </w:p>
        </w:tc>
        <w:tc>
          <w:tcPr>
            <w:tcW w:type="dxa" w:w="1152"/>
            <w:shd w:val="clear" w:color="auto" w:fill="F2F5F8"/>
          </w:tcPr>
          <w:p>
            <w:pPr>
              <w:spacing w:after="40"/>
              <w:jc w:val="right"/>
            </w:pPr>
            <w:r/>
            <w:r>
              <w:rPr>
                <w:rFonts w:ascii="Arial" w:hAnsi="Arial"/>
                <w:sz w:val="17"/>
              </w:rPr>
              <w:t>19.0</w:t>
            </w:r>
          </w:p>
        </w:tc>
        <w:tc>
          <w:tcPr>
            <w:tcW w:type="dxa" w:w="1440"/>
            <w:shd w:val="clear" w:color="auto" w:fill="F2F5F8"/>
          </w:tcPr>
          <w:p>
            <w:pPr>
              <w:spacing w:after="40"/>
              <w:jc w:val="right"/>
            </w:pPr>
            <w:r/>
            <w:r>
              <w:rPr>
                <w:rFonts w:ascii="Arial" w:hAnsi="Arial"/>
                <w:sz w:val="17"/>
              </w:rPr>
              <w:t>9.5 kt</w:t>
            </w:r>
          </w:p>
        </w:tc>
        <w:tc>
          <w:tcPr>
            <w:tcW w:type="dxa" w:w="1368"/>
            <w:shd w:val="clear" w:color="auto" w:fill="F2F5F8"/>
          </w:tcPr>
          <w:p>
            <w:pPr>
              <w:spacing w:after="40"/>
              <w:jc w:val="right"/>
            </w:pPr>
            <w:r/>
            <w:r>
              <w:rPr>
                <w:rFonts w:ascii="Arial" w:hAnsi="Arial"/>
                <w:sz w:val="17"/>
              </w:rPr>
              <w:t>11.13</w:t>
            </w:r>
          </w:p>
        </w:tc>
        <w:tc>
          <w:tcPr>
            <w:tcW w:type="dxa" w:w="1224"/>
            <w:shd w:val="clear" w:color="auto" w:fill="F2F5F8"/>
          </w:tcPr>
          <w:p>
            <w:pPr>
              <w:spacing w:after="40"/>
              <w:jc w:val="right"/>
            </w:pPr>
            <w:r/>
            <w:r>
              <w:rPr>
                <w:rFonts w:ascii="Arial" w:hAnsi="Arial"/>
                <w:sz w:val="17"/>
              </w:rPr>
              <w:t>+119.5%</w:t>
            </w:r>
          </w:p>
        </w:tc>
      </w:tr>
      <w:tr>
        <w:tc>
          <w:tcPr>
            <w:tcW w:type="dxa" w:w="1512"/>
          </w:tcPr>
          <w:p>
            <w:pPr>
              <w:spacing w:after="40"/>
            </w:pPr>
            <w:r/>
            <w:r>
              <w:rPr>
                <w:rFonts w:ascii="Arial" w:hAnsi="Arial"/>
                <w:sz w:val="17"/>
              </w:rPr>
              <w:t>≥ 0.7 m</w:t>
            </w:r>
          </w:p>
        </w:tc>
        <w:tc>
          <w:tcPr>
            <w:tcW w:type="dxa" w:w="1224"/>
          </w:tcPr>
          <w:p>
            <w:pPr>
              <w:spacing w:after="40"/>
              <w:jc w:val="right"/>
            </w:pPr>
            <w:r/>
            <w:r>
              <w:rPr>
                <w:rFonts w:ascii="Arial" w:hAnsi="Arial"/>
                <w:sz w:val="17"/>
              </w:rPr>
              <w:t>4</w:t>
            </w:r>
          </w:p>
        </w:tc>
        <w:tc>
          <w:tcPr>
            <w:tcW w:type="dxa" w:w="936"/>
          </w:tcPr>
          <w:p>
            <w:pPr>
              <w:spacing w:after="40"/>
              <w:jc w:val="right"/>
            </w:pPr>
            <w:r/>
            <w:r>
              <w:rPr>
                <w:rFonts w:ascii="Arial" w:hAnsi="Arial"/>
                <w:sz w:val="17"/>
              </w:rPr>
              <w:t>6.49</w:t>
            </w:r>
          </w:p>
        </w:tc>
        <w:tc>
          <w:tcPr>
            <w:tcW w:type="dxa" w:w="1152"/>
          </w:tcPr>
          <w:p>
            <w:pPr>
              <w:spacing w:after="40"/>
              <w:jc w:val="right"/>
            </w:pPr>
            <w:r/>
            <w:r>
              <w:rPr>
                <w:rFonts w:ascii="Arial" w:hAnsi="Arial"/>
                <w:sz w:val="17"/>
              </w:rPr>
              <w:t>4.5</w:t>
            </w:r>
          </w:p>
        </w:tc>
        <w:tc>
          <w:tcPr>
            <w:tcW w:type="dxa" w:w="1440"/>
          </w:tcPr>
          <w:p>
            <w:pPr>
              <w:spacing w:after="40"/>
              <w:jc w:val="right"/>
            </w:pPr>
            <w:r/>
            <w:r>
              <w:rPr>
                <w:rFonts w:ascii="Arial" w:hAnsi="Arial"/>
                <w:sz w:val="17"/>
              </w:rPr>
              <w:t>5.6 kt</w:t>
            </w:r>
          </w:p>
        </w:tc>
        <w:tc>
          <w:tcPr>
            <w:tcW w:type="dxa" w:w="1368"/>
          </w:tcPr>
          <w:p>
            <w:pPr>
              <w:spacing w:after="40"/>
              <w:jc w:val="right"/>
            </w:pPr>
            <w:r/>
            <w:r>
              <w:rPr>
                <w:rFonts w:ascii="Arial" w:hAnsi="Arial"/>
                <w:sz w:val="17"/>
              </w:rPr>
              <w:t>1.73</w:t>
            </w:r>
          </w:p>
        </w:tc>
        <w:tc>
          <w:tcPr>
            <w:tcW w:type="dxa" w:w="1224"/>
          </w:tcPr>
          <w:p>
            <w:pPr>
              <w:spacing w:after="40"/>
              <w:jc w:val="right"/>
            </w:pPr>
            <w:r/>
            <w:r>
              <w:rPr>
                <w:rFonts w:ascii="Arial" w:hAnsi="Arial"/>
                <w:sz w:val="17"/>
              </w:rPr>
              <w:t>+0.3%</w:t>
            </w:r>
          </w:p>
        </w:tc>
      </w:tr>
    </w:tbl>
    <w:p>
      <w:pPr>
        <w:spacing w:after="200"/>
      </w:pPr>
      <w:r>
        <w:rPr>
          <w:rFonts w:ascii="Arial" w:hAnsi="Arial"/>
          <w:b w:val="0"/>
          <w:i/>
          <w:color w:val="5B6B7A"/>
          <w:sz w:val="16"/>
        </w:rPr>
        <w:t>Table 12 — Premium binned by heave. Capacity cancels out of the ordering, so this does not depend on which capacity is assumed.</w:t>
      </w:r>
    </w:p>
    <w:p>
      <w:pPr>
        <w:spacing w:after="120"/>
      </w:pPr>
      <w:r>
        <w:rPr>
          <w:rFonts w:ascii="Arial" w:hAnsi="Arial"/>
          <w:b w:val="0"/>
          <w:i w:val="0"/>
          <w:sz w:val="20"/>
        </w:rPr>
        <w:t>The premium moves with no consistent relation to heave at all. Two confounds are sufficient to explain that. The first is speed: the crew slowed deliberately as conditions built, so the roughest band is also the slowest band. The second is gauge position: tank level fell steadily through the window while sea state wandered up and down, so any bin on heave is partly a bin on tank level. One 22-hour window cannot separate three effects.</w:t>
      </w:r>
    </w:p>
    <w:p>
      <w:pPr>
        <w:pStyle w:val="Heading2"/>
      </w:pPr>
      <w:r>
        <w:t>7.3  Sensitivity in place of a fit</w:t>
      </w:r>
    </w:p>
    <w:p>
      <w:pPr>
        <w:spacing w:after="120"/>
      </w:pPr>
      <w:r>
        <w:rPr>
          <w:rFonts w:ascii="Arial" w:hAnsi="Arial"/>
          <w:b w:val="0"/>
          <w:i w:val="0"/>
          <w:sz w:val="20"/>
        </w:rPr>
        <w:t>Since the relationship cannot be measured, the premium is treated as an input and its consequences are mapped.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val="clear" w:color="auto" w:fill="1F3B60"/>
          </w:tcPr>
          <w:p>
            <w:pPr>
              <w:spacing w:after="40"/>
            </w:pPr>
            <w:r/>
            <w:r>
              <w:rPr>
                <w:rFonts w:ascii="Arial" w:hAnsi="Arial"/>
                <w:b/>
                <w:color w:val="FFFFFF"/>
                <w:sz w:val="17"/>
              </w:rPr>
              <w:t>Assumed premium</w:t>
            </w:r>
          </w:p>
        </w:tc>
        <w:tc>
          <w:tcPr>
            <w:tcW w:type="dxa" w:w="2520"/>
            <w:shd w:val="clear" w:color="auto" w:fill="1F3B60"/>
          </w:tcPr>
          <w:p>
            <w:pPr>
              <w:spacing w:after="40"/>
              <w:jc w:val="right"/>
            </w:pPr>
            <w:r/>
            <w:r>
              <w:rPr>
                <w:rFonts w:ascii="Arial" w:hAnsi="Arial"/>
                <w:b/>
                <w:color w:val="FFFFFF"/>
                <w:sz w:val="17"/>
              </w:rPr>
              <w:t>Implied capacity (full window)</w:t>
            </w:r>
          </w:p>
        </w:tc>
        <w:tc>
          <w:tcPr>
            <w:tcW w:type="dxa" w:w="2520"/>
            <w:shd w:val="clear" w:color="auto" w:fill="1F3B60"/>
          </w:tcPr>
          <w:p>
            <w:pPr>
              <w:spacing w:after="40"/>
              <w:jc w:val="right"/>
            </w:pPr>
            <w:r/>
            <w:r>
              <w:rPr>
                <w:rFonts w:ascii="Arial" w:hAnsi="Arial"/>
                <w:b/>
                <w:color w:val="FFFFFF"/>
                <w:sz w:val="17"/>
              </w:rPr>
              <w:t>Implied capacity (1st excluded)</w:t>
            </w:r>
          </w:p>
        </w:tc>
        <w:tc>
          <w:tcPr>
            <w:tcW w:type="dxa" w:w="2592"/>
            <w:shd w:val="clear" w:color="auto" w:fill="1F3B60"/>
          </w:tcPr>
          <w:p>
            <w:pPr>
              <w:spacing w:after="40"/>
              <w:jc w:val="right"/>
            </w:pPr>
            <w:r/>
            <w:r>
              <w:rPr>
                <w:rFonts w:ascii="Arial" w:hAnsi="Arial"/>
                <w:b/>
                <w:color w:val="FFFFFF"/>
                <w:sz w:val="17"/>
              </w:rPr>
              <w:t>Indicative conditions</w:t>
            </w:r>
          </w:p>
        </w:tc>
      </w:tr>
      <w:tr>
        <w:tc>
          <w:tcPr>
            <w:tcW w:type="dxa" w:w="1728"/>
          </w:tcPr>
          <w:p>
            <w:pPr>
              <w:spacing w:after="40"/>
            </w:pPr>
            <w:r/>
            <w:r>
              <w:rPr>
                <w:rFonts w:ascii="Arial" w:hAnsi="Arial"/>
                <w:sz w:val="17"/>
              </w:rPr>
              <w:t>0%</w:t>
            </w:r>
          </w:p>
        </w:tc>
        <w:tc>
          <w:tcPr>
            <w:tcW w:type="dxa" w:w="2520"/>
          </w:tcPr>
          <w:p>
            <w:pPr>
              <w:spacing w:after="40"/>
              <w:jc w:val="right"/>
            </w:pPr>
            <w:r/>
            <w:r>
              <w:rPr>
                <w:rFonts w:ascii="Arial" w:hAnsi="Arial"/>
                <w:sz w:val="17"/>
              </w:rPr>
              <w:t>173.4 L</w:t>
            </w:r>
          </w:p>
        </w:tc>
        <w:tc>
          <w:tcPr>
            <w:tcW w:type="dxa" w:w="2520"/>
          </w:tcPr>
          <w:p>
            <w:pPr>
              <w:spacing w:after="40"/>
              <w:jc w:val="right"/>
            </w:pPr>
            <w:r/>
            <w:r>
              <w:rPr>
                <w:rFonts w:ascii="Arial" w:hAnsi="Arial"/>
                <w:sz w:val="17"/>
              </w:rPr>
              <w:t>204.9 L</w:t>
            </w:r>
          </w:p>
        </w:tc>
        <w:tc>
          <w:tcPr>
            <w:tcW w:type="dxa" w:w="2592"/>
          </w:tcPr>
          <w:p>
            <w:pPr>
              <w:spacing w:after="40"/>
              <w:jc w:val="right"/>
            </w:pPr>
            <w:r/>
            <w:r>
              <w:rPr>
                <w:rFonts w:ascii="Arial" w:hAnsi="Arial"/>
                <w:sz w:val="17"/>
              </w:rPr>
              <w:t>Flat water — trial conditions</w:t>
            </w:r>
          </w:p>
        </w:tc>
      </w:tr>
      <w:tr>
        <w:tc>
          <w:tcPr>
            <w:tcW w:type="dxa" w:w="1728"/>
            <w:shd w:val="clear" w:color="auto" w:fill="F2F5F8"/>
          </w:tcPr>
          <w:p>
            <w:pPr>
              <w:spacing w:after="40"/>
            </w:pPr>
            <w:r/>
            <w:r>
              <w:rPr>
                <w:rFonts w:ascii="Arial" w:hAnsi="Arial"/>
                <w:sz w:val="17"/>
              </w:rPr>
              <w:t>5%</w:t>
            </w:r>
          </w:p>
        </w:tc>
        <w:tc>
          <w:tcPr>
            <w:tcW w:type="dxa" w:w="2520"/>
            <w:shd w:val="clear" w:color="auto" w:fill="F2F5F8"/>
          </w:tcPr>
          <w:p>
            <w:pPr>
              <w:spacing w:after="40"/>
              <w:jc w:val="right"/>
            </w:pPr>
            <w:r/>
            <w:r>
              <w:rPr>
                <w:rFonts w:ascii="Arial" w:hAnsi="Arial"/>
                <w:sz w:val="17"/>
              </w:rPr>
              <w:t>187.4 L</w:t>
            </w:r>
          </w:p>
        </w:tc>
        <w:tc>
          <w:tcPr>
            <w:tcW w:type="dxa" w:w="2520"/>
            <w:shd w:val="clear" w:color="auto" w:fill="F2F5F8"/>
          </w:tcPr>
          <w:p>
            <w:pPr>
              <w:spacing w:after="40"/>
              <w:jc w:val="right"/>
            </w:pPr>
            <w:r/>
            <w:r>
              <w:rPr>
                <w:rFonts w:ascii="Arial" w:hAnsi="Arial"/>
                <w:sz w:val="17"/>
              </w:rPr>
              <w:t>221.7 L</w:t>
            </w:r>
          </w:p>
        </w:tc>
        <w:tc>
          <w:tcPr>
            <w:tcW w:type="dxa" w:w="2592"/>
            <w:shd w:val="clear" w:color="auto" w:fill="F2F5F8"/>
          </w:tcPr>
          <w:p>
            <w:pPr>
              <w:spacing w:after="40"/>
              <w:jc w:val="right"/>
            </w:pPr>
            <w:r/>
            <w:r>
              <w:rPr>
                <w:rFonts w:ascii="Arial" w:hAnsi="Arial"/>
                <w:sz w:val="17"/>
              </w:rPr>
              <w:t>Ripple, Beaufort 2</w:t>
            </w:r>
          </w:p>
        </w:tc>
      </w:tr>
      <w:tr>
        <w:tc>
          <w:tcPr>
            <w:tcW w:type="dxa" w:w="1728"/>
            <w:shd w:val="clear" w:color="auto" w:fill="FDF3E0"/>
          </w:tcPr>
          <w:p>
            <w:pPr>
              <w:spacing w:after="40"/>
            </w:pPr>
            <w:r/>
            <w:r>
              <w:rPr>
                <w:rFonts w:ascii="Arial" w:hAnsi="Arial"/>
                <w:sz w:val="17"/>
              </w:rPr>
              <w:t>10%</w:t>
            </w:r>
          </w:p>
        </w:tc>
        <w:tc>
          <w:tcPr>
            <w:tcW w:type="dxa" w:w="2520"/>
            <w:shd w:val="clear" w:color="auto" w:fill="FDF3E0"/>
          </w:tcPr>
          <w:p>
            <w:pPr>
              <w:spacing w:after="40"/>
              <w:jc w:val="right"/>
            </w:pPr>
            <w:r/>
            <w:r>
              <w:rPr>
                <w:rFonts w:ascii="Arial" w:hAnsi="Arial"/>
                <w:sz w:val="17"/>
              </w:rPr>
              <w:t>201.4 L</w:t>
            </w:r>
          </w:p>
        </w:tc>
        <w:tc>
          <w:tcPr>
            <w:tcW w:type="dxa" w:w="2520"/>
            <w:shd w:val="clear" w:color="auto" w:fill="FDF3E0"/>
          </w:tcPr>
          <w:p>
            <w:pPr>
              <w:spacing w:after="40"/>
              <w:jc w:val="right"/>
            </w:pPr>
            <w:r/>
            <w:r>
              <w:rPr>
                <w:rFonts w:ascii="Arial" w:hAnsi="Arial"/>
                <w:sz w:val="17"/>
              </w:rPr>
              <w:t>238.5 L</w:t>
            </w:r>
          </w:p>
        </w:tc>
        <w:tc>
          <w:tcPr>
            <w:tcW w:type="dxa" w:w="2592"/>
            <w:shd w:val="clear" w:color="auto" w:fill="FDF3E0"/>
          </w:tcPr>
          <w:p>
            <w:pPr>
              <w:spacing w:after="40"/>
              <w:jc w:val="right"/>
            </w:pPr>
            <w:r/>
            <w:r>
              <w:rPr>
                <w:rFonts w:ascii="Arial" w:hAnsi="Arial"/>
                <w:sz w:val="17"/>
              </w:rPr>
              <w:t>Beaufort 3–4 — as recorded</w:t>
            </w:r>
          </w:p>
        </w:tc>
      </w:tr>
      <w:tr>
        <w:tc>
          <w:tcPr>
            <w:tcW w:type="dxa" w:w="1728"/>
            <w:shd w:val="clear" w:color="auto" w:fill="F2F5F8"/>
          </w:tcPr>
          <w:p>
            <w:pPr>
              <w:spacing w:after="40"/>
            </w:pPr>
            <w:r/>
            <w:r>
              <w:rPr>
                <w:rFonts w:ascii="Arial" w:hAnsi="Arial"/>
                <w:sz w:val="17"/>
              </w:rPr>
              <w:t>15%</w:t>
            </w:r>
          </w:p>
        </w:tc>
        <w:tc>
          <w:tcPr>
            <w:tcW w:type="dxa" w:w="2520"/>
            <w:shd w:val="clear" w:color="auto" w:fill="F2F5F8"/>
          </w:tcPr>
          <w:p>
            <w:pPr>
              <w:spacing w:after="40"/>
              <w:jc w:val="right"/>
            </w:pPr>
            <w:r/>
            <w:r>
              <w:rPr>
                <w:rFonts w:ascii="Arial" w:hAnsi="Arial"/>
                <w:sz w:val="17"/>
              </w:rPr>
              <w:t>215.4 L</w:t>
            </w:r>
          </w:p>
        </w:tc>
        <w:tc>
          <w:tcPr>
            <w:tcW w:type="dxa" w:w="2520"/>
            <w:shd w:val="clear" w:color="auto" w:fill="F2F5F8"/>
          </w:tcPr>
          <w:p>
            <w:pPr>
              <w:spacing w:after="40"/>
              <w:jc w:val="right"/>
            </w:pPr>
            <w:r/>
            <w:r>
              <w:rPr>
                <w:rFonts w:ascii="Arial" w:hAnsi="Arial"/>
                <w:sz w:val="17"/>
              </w:rPr>
              <w:t>255.3 L</w:t>
            </w:r>
          </w:p>
        </w:tc>
        <w:tc>
          <w:tcPr>
            <w:tcW w:type="dxa" w:w="2592"/>
            <w:shd w:val="clear" w:color="auto" w:fill="F2F5F8"/>
          </w:tcPr>
          <w:p>
            <w:pPr>
              <w:spacing w:after="40"/>
              <w:jc w:val="right"/>
            </w:pPr>
            <w:r/>
            <w:r>
              <w:rPr>
                <w:rFonts w:ascii="Arial" w:hAnsi="Arial"/>
                <w:sz w:val="17"/>
              </w:rPr>
              <w:t>Beaufort 4, short chop</w:t>
            </w:r>
          </w:p>
        </w:tc>
      </w:tr>
      <w:tr>
        <w:tc>
          <w:tcPr>
            <w:tcW w:type="dxa" w:w="1728"/>
          </w:tcPr>
          <w:p>
            <w:pPr>
              <w:spacing w:after="40"/>
            </w:pPr>
            <w:r/>
            <w:r>
              <w:rPr>
                <w:rFonts w:ascii="Arial" w:hAnsi="Arial"/>
                <w:sz w:val="17"/>
              </w:rPr>
              <w:t>20%</w:t>
            </w:r>
          </w:p>
        </w:tc>
        <w:tc>
          <w:tcPr>
            <w:tcW w:type="dxa" w:w="2520"/>
          </w:tcPr>
          <w:p>
            <w:pPr>
              <w:spacing w:after="40"/>
              <w:jc w:val="right"/>
            </w:pPr>
            <w:r/>
            <w:r>
              <w:rPr>
                <w:rFonts w:ascii="Arial" w:hAnsi="Arial"/>
                <w:sz w:val="17"/>
              </w:rPr>
              <w:t>229.4 L</w:t>
            </w:r>
          </w:p>
        </w:tc>
        <w:tc>
          <w:tcPr>
            <w:tcW w:type="dxa" w:w="2520"/>
          </w:tcPr>
          <w:p>
            <w:pPr>
              <w:spacing w:after="40"/>
              <w:jc w:val="right"/>
            </w:pPr>
            <w:r/>
            <w:r>
              <w:rPr>
                <w:rFonts w:ascii="Arial" w:hAnsi="Arial"/>
                <w:sz w:val="17"/>
              </w:rPr>
              <w:t>272.2 L</w:t>
            </w:r>
          </w:p>
        </w:tc>
        <w:tc>
          <w:tcPr>
            <w:tcW w:type="dxa" w:w="2592"/>
          </w:tcPr>
          <w:p>
            <w:pPr>
              <w:spacing w:after="40"/>
              <w:jc w:val="right"/>
            </w:pPr>
            <w:r/>
            <w:r>
              <w:rPr>
                <w:rFonts w:ascii="Arial" w:hAnsi="Arial"/>
                <w:sz w:val="17"/>
              </w:rPr>
              <w:t>Beaufort 5</w:t>
            </w:r>
          </w:p>
        </w:tc>
      </w:tr>
      <w:tr>
        <w:tc>
          <w:tcPr>
            <w:tcW w:type="dxa" w:w="1728"/>
            <w:shd w:val="clear" w:color="auto" w:fill="F2F5F8"/>
          </w:tcPr>
          <w:p>
            <w:pPr>
              <w:spacing w:after="40"/>
            </w:pPr>
            <w:r/>
            <w:r>
              <w:rPr>
                <w:rFonts w:ascii="Arial" w:hAnsi="Arial"/>
                <w:sz w:val="17"/>
              </w:rPr>
              <w:t>30%</w:t>
            </w:r>
          </w:p>
        </w:tc>
        <w:tc>
          <w:tcPr>
            <w:tcW w:type="dxa" w:w="2520"/>
            <w:shd w:val="clear" w:color="auto" w:fill="F2F5F8"/>
          </w:tcPr>
          <w:p>
            <w:pPr>
              <w:spacing w:after="40"/>
              <w:jc w:val="right"/>
            </w:pPr>
            <w:r/>
            <w:r>
              <w:rPr>
                <w:rFonts w:ascii="Arial" w:hAnsi="Arial"/>
                <w:sz w:val="17"/>
              </w:rPr>
              <w:t>257.4 L</w:t>
            </w:r>
          </w:p>
        </w:tc>
        <w:tc>
          <w:tcPr>
            <w:tcW w:type="dxa" w:w="2520"/>
            <w:shd w:val="clear" w:color="auto" w:fill="F2F5F8"/>
          </w:tcPr>
          <w:p>
            <w:pPr>
              <w:spacing w:after="40"/>
              <w:jc w:val="right"/>
            </w:pPr>
            <w:r/>
            <w:r>
              <w:rPr>
                <w:rFonts w:ascii="Arial" w:hAnsi="Arial"/>
                <w:sz w:val="17"/>
              </w:rPr>
              <w:t>305.8 L</w:t>
            </w:r>
          </w:p>
        </w:tc>
        <w:tc>
          <w:tcPr>
            <w:tcW w:type="dxa" w:w="2592"/>
            <w:shd w:val="clear" w:color="auto" w:fill="F2F5F8"/>
          </w:tcPr>
          <w:p>
            <w:pPr>
              <w:spacing w:after="40"/>
              <w:jc w:val="right"/>
            </w:pPr>
            <w:r/>
            <w:r>
              <w:rPr>
                <w:rFonts w:ascii="Arial" w:hAnsi="Arial"/>
                <w:sz w:val="17"/>
              </w:rPr>
              <w:t>Beaufort 6 — beyond survey limits</w:t>
            </w:r>
          </w:p>
        </w:tc>
      </w:tr>
    </w:tbl>
    <w:p>
      <w:pPr>
        <w:spacing w:after="200"/>
      </w:pPr>
      <w:r>
        <w:rPr>
          <w:rFonts w:ascii="Arial" w:hAnsi="Arial"/>
          <w:b w:val="0"/>
          <w:i/>
          <w:color w:val="5B6B7A"/>
          <w:sz w:val="16"/>
        </w:rPr>
        <w:t>Table 13 — Sensitivity of implied capacity to the assumed premium. The rightmost column is interpretation, not measurement.</w:t>
      </w:r>
    </w:p>
    <w:p>
      <w:pPr>
        <w:jc w:val="center"/>
      </w:pPr>
      <w:r>
        <w:drawing>
          <wp:inline xmlns:a="http://schemas.openxmlformats.org/drawingml/2006/main" xmlns:pic="http://schemas.openxmlformats.org/drawingml/2006/picture">
            <wp:extent cx="5669280" cy="3251794"/>
            <wp:docPr id="11" name="Picture 11"/>
            <wp:cNvGraphicFramePr>
              <a:graphicFrameLocks noChangeAspect="1"/>
            </wp:cNvGraphicFramePr>
            <a:graphic>
              <a:graphicData uri="http://schemas.openxmlformats.org/drawingml/2006/picture">
                <pic:pic>
                  <pic:nvPicPr>
                    <pic:cNvPr id="0" name="fig10_premium.png"/>
                    <pic:cNvPicPr/>
                  </pic:nvPicPr>
                  <pic:blipFill>
                    <a:blip r:embed="rId19"/>
                    <a:stretch>
                      <a:fillRect/>
                    </a:stretch>
                  </pic:blipFill>
                  <pic:spPr>
                    <a:xfrm>
                      <a:off x="0" y="0"/>
                      <a:ext cx="5669280" cy="3251794"/>
                    </a:xfrm>
                    <a:prstGeom prst="rect"/>
                  </pic:spPr>
                </pic:pic>
              </a:graphicData>
            </a:graphic>
          </wp:inline>
        </w:drawing>
      </w:r>
    </w:p>
    <w:p>
      <w:pPr>
        <w:spacing w:after="240"/>
        <w:jc w:val="center"/>
      </w:pPr>
      <w:r>
        <w:rPr>
          <w:rFonts w:ascii="Arial" w:hAnsi="Arial"/>
          <w:b w:val="0"/>
          <w:i/>
          <w:color w:val="5B6B7A"/>
          <w:sz w:val="17"/>
        </w:rPr>
        <w:t>Figure 10 — Implied capacity against assumed premium. Note where the lower curve begins: at zero premium, excluding the first interval, it starts essentially on the DD2024 reference line.</w:t>
      </w:r>
    </w:p>
    <w:p>
      <w:pPr>
        <w:pStyle w:val="Heading2"/>
      </w:pPr>
      <w:r>
        <w:t>7.4  What would let this be measured</w:t>
      </w:r>
    </w:p>
    <w:p>
      <w:pPr>
        <w:pStyle w:val="ListBullet"/>
        <w:spacing w:after="60"/>
      </w:pPr>
      <w:r>
        <w:rPr>
          <w:rFonts w:ascii="Arial" w:hAnsi="Arial"/>
          <w:b/>
          <w:sz w:val="20"/>
        </w:rPr>
        <w:t xml:space="preserve">Log the flow meter, not the gauge. </w:t>
      </w:r>
      <w:r>
        <w:rPr>
          <w:rFonts w:ascii="Arial" w:hAnsi="Arial"/>
          <w:sz w:val="20"/>
        </w:rPr>
        <w:t>Now done — the MCAP pipeline reads the flow meter directly, which is what made the calm anchor and the gauge calibration possible.</w:t>
      </w:r>
    </w:p>
    <w:p>
      <w:pPr>
        <w:pStyle w:val="ListBullet"/>
        <w:spacing w:after="60"/>
      </w:pPr>
      <w:r>
        <w:rPr>
          <w:rFonts w:ascii="Arial" w:hAnsi="Arial"/>
          <w:b/>
          <w:sz w:val="20"/>
        </w:rPr>
        <w:t xml:space="preserve">Record sea state as a number. </w:t>
      </w:r>
      <w:r>
        <w:rPr>
          <w:rFonts w:ascii="Arial" w:hAnsi="Arial"/>
          <w:sz w:val="20"/>
        </w:rPr>
        <w:t>The weather sensor is still not bridged into the connectivity-box recording; zero live wind or met topics appear across all recorded channels.</w:t>
      </w:r>
    </w:p>
    <w:p>
      <w:pPr>
        <w:pStyle w:val="ListBullet"/>
        <w:spacing w:after="60"/>
      </w:pPr>
      <w:r>
        <w:rPr>
          <w:rFonts w:ascii="Arial" w:hAnsi="Arial"/>
          <w:b/>
          <w:sz w:val="20"/>
        </w:rPr>
        <w:t xml:space="preserve">Hold speed constant across conditions. </w:t>
      </w:r>
      <w:r>
        <w:rPr>
          <w:rFonts w:ascii="Arial" w:hAnsi="Arial"/>
          <w:sz w:val="20"/>
        </w:rPr>
        <w:t>A fixed-RPM leg flown in calm and again in a seaway on the same heading gives the premium directly. This is the single missing experiment.</w:t>
      </w:r>
    </w:p>
    <w:p>
      <w:pPr>
        <w:pStyle w:val="Heading1"/>
      </w:pPr>
      <w:r>
        <w:t>8.  Mission planning framework</w:t>
      </w:r>
    </w:p>
    <w:p>
      <w:pPr>
        <w:pStyle w:val="Heading2"/>
      </w:pPr>
      <w:r>
        <w:t>8.1  Fuel is not where the money is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1F3B60"/>
          </w:tcPr>
          <w:p>
            <w:pPr>
              <w:spacing w:after="40"/>
            </w:pPr>
            <w:r/>
            <w:r>
              <w:rPr>
                <w:rFonts w:ascii="Arial" w:hAnsi="Arial"/>
                <w:b/>
                <w:color w:val="FFFFFF"/>
                <w:sz w:val="17"/>
              </w:rPr>
              <w:t>Configuration</w:t>
            </w:r>
          </w:p>
        </w:tc>
        <w:tc>
          <w:tcPr>
            <w:tcW w:type="dxa" w:w="1584"/>
            <w:shd w:val="clear" w:color="auto" w:fill="1F3B60"/>
          </w:tcPr>
          <w:p>
            <w:pPr>
              <w:spacing w:after="40"/>
              <w:jc w:val="right"/>
            </w:pPr>
            <w:r/>
            <w:r>
              <w:rPr>
                <w:rFonts w:ascii="Arial" w:hAnsi="Arial"/>
                <w:b/>
                <w:color w:val="FFFFFF"/>
                <w:sz w:val="17"/>
              </w:rPr>
              <w:t>Fuel cost</w:t>
            </w:r>
          </w:p>
        </w:tc>
        <w:tc>
          <w:tcPr>
            <w:tcW w:type="dxa" w:w="1728"/>
            <w:shd w:val="clear" w:color="auto" w:fill="1F3B60"/>
          </w:tcPr>
          <w:p>
            <w:pPr>
              <w:spacing w:after="40"/>
              <w:jc w:val="right"/>
            </w:pPr>
            <w:r/>
            <w:r>
              <w:rPr>
                <w:rFonts w:ascii="Arial" w:hAnsi="Arial"/>
                <w:b/>
                <w:color w:val="FFFFFF"/>
                <w:sz w:val="17"/>
              </w:rPr>
              <w:t>Mission hours</w:t>
            </w:r>
          </w:p>
        </w:tc>
        <w:tc>
          <w:tcPr>
            <w:tcW w:type="dxa" w:w="1728"/>
            <w:shd w:val="clear" w:color="auto" w:fill="1F3B60"/>
          </w:tcPr>
          <w:p>
            <w:pPr>
              <w:spacing w:after="40"/>
              <w:jc w:val="right"/>
            </w:pPr>
            <w:r/>
            <w:r>
              <w:rPr>
                <w:rFonts w:ascii="Arial" w:hAnsi="Arial"/>
                <w:b/>
                <w:color w:val="FFFFFF"/>
                <w:sz w:val="17"/>
              </w:rPr>
              <w:t>Grand total</w:t>
            </w:r>
          </w:p>
        </w:tc>
        <w:tc>
          <w:tcPr>
            <w:tcW w:type="dxa" w:w="1440"/>
            <w:shd w:val="clear" w:color="auto" w:fill="1F3B60"/>
          </w:tcPr>
          <w:p>
            <w:pPr>
              <w:spacing w:after="40"/>
              <w:jc w:val="right"/>
            </w:pPr>
            <w:r/>
            <w:r>
              <w:rPr>
                <w:rFonts w:ascii="Arial" w:hAnsi="Arial"/>
                <w:b/>
                <w:color w:val="FFFFFF"/>
                <w:sz w:val="17"/>
              </w:rPr>
              <w:t>Fuel share</w:t>
            </w:r>
          </w:p>
        </w:tc>
      </w:tr>
      <w:tr>
        <w:tc>
          <w:tcPr>
            <w:tcW w:type="dxa" w:w="2160"/>
          </w:tcPr>
          <w:p>
            <w:pPr>
              <w:spacing w:after="40"/>
            </w:pPr>
            <w:r/>
            <w:r>
              <w:rPr>
                <w:rFonts w:ascii="Arial" w:hAnsi="Arial"/>
                <w:sz w:val="17"/>
              </w:rPr>
              <w:t>1 × DriX H8</w:t>
            </w:r>
          </w:p>
        </w:tc>
        <w:tc>
          <w:tcPr>
            <w:tcW w:type="dxa" w:w="1584"/>
          </w:tcPr>
          <w:p>
            <w:pPr>
              <w:spacing w:after="40"/>
              <w:jc w:val="right"/>
            </w:pPr>
            <w:r/>
            <w:r>
              <w:rPr>
                <w:rFonts w:ascii="Arial" w:hAnsi="Arial"/>
                <w:sz w:val="17"/>
              </w:rPr>
              <w:t>$3,467</w:t>
            </w:r>
          </w:p>
        </w:tc>
        <w:tc>
          <w:tcPr>
            <w:tcW w:type="dxa" w:w="1728"/>
          </w:tcPr>
          <w:p>
            <w:pPr>
              <w:spacing w:after="40"/>
              <w:jc w:val="right"/>
            </w:pPr>
            <w:r/>
            <w:r>
              <w:rPr>
                <w:rFonts w:ascii="Arial" w:hAnsi="Arial"/>
                <w:sz w:val="17"/>
              </w:rPr>
              <w:t>792.8</w:t>
            </w:r>
          </w:p>
        </w:tc>
        <w:tc>
          <w:tcPr>
            <w:tcW w:type="dxa" w:w="1728"/>
          </w:tcPr>
          <w:p>
            <w:pPr>
              <w:spacing w:after="40"/>
              <w:jc w:val="right"/>
            </w:pPr>
            <w:r/>
            <w:r>
              <w:rPr>
                <w:rFonts w:ascii="Arial" w:hAnsi="Arial"/>
                <w:sz w:val="17"/>
              </w:rPr>
              <w:t>$376,667</w:t>
            </w:r>
          </w:p>
        </w:tc>
        <w:tc>
          <w:tcPr>
            <w:tcW w:type="dxa" w:w="1440"/>
          </w:tcPr>
          <w:p>
            <w:pPr>
              <w:spacing w:after="40"/>
              <w:jc w:val="right"/>
            </w:pPr>
            <w:r/>
            <w:r>
              <w:rPr>
                <w:rFonts w:ascii="Arial" w:hAnsi="Arial"/>
                <w:sz w:val="17"/>
              </w:rPr>
              <w:t>0.92%</w:t>
            </w:r>
          </w:p>
        </w:tc>
      </w:tr>
      <w:tr>
        <w:tc>
          <w:tcPr>
            <w:tcW w:type="dxa" w:w="2160"/>
            <w:shd w:val="clear" w:color="auto" w:fill="F2F5F8"/>
          </w:tcPr>
          <w:p>
            <w:pPr>
              <w:spacing w:after="40"/>
            </w:pPr>
            <w:r/>
            <w:r>
              <w:rPr>
                <w:rFonts w:ascii="Arial" w:hAnsi="Arial"/>
                <w:sz w:val="17"/>
              </w:rPr>
              <w:t>2 × DriX H8</w:t>
            </w:r>
          </w:p>
        </w:tc>
        <w:tc>
          <w:tcPr>
            <w:tcW w:type="dxa" w:w="1584"/>
            <w:shd w:val="clear" w:color="auto" w:fill="F2F5F8"/>
          </w:tcPr>
          <w:p>
            <w:pPr>
              <w:spacing w:after="40"/>
              <w:jc w:val="right"/>
            </w:pPr>
            <w:r/>
            <w:r>
              <w:rPr>
                <w:rFonts w:ascii="Arial" w:hAnsi="Arial"/>
                <w:sz w:val="17"/>
              </w:rPr>
              <w:t>$1,796</w:t>
            </w:r>
          </w:p>
        </w:tc>
        <w:tc>
          <w:tcPr>
            <w:tcW w:type="dxa" w:w="1728"/>
            <w:shd w:val="clear" w:color="auto" w:fill="F2F5F8"/>
          </w:tcPr>
          <w:p>
            <w:pPr>
              <w:spacing w:after="40"/>
              <w:jc w:val="right"/>
            </w:pPr>
            <w:r/>
            <w:r>
              <w:rPr>
                <w:rFonts w:ascii="Arial" w:hAnsi="Arial"/>
                <w:sz w:val="17"/>
              </w:rPr>
              <w:t>440.4</w:t>
            </w:r>
          </w:p>
        </w:tc>
        <w:tc>
          <w:tcPr>
            <w:tcW w:type="dxa" w:w="1728"/>
            <w:shd w:val="clear" w:color="auto" w:fill="F2F5F8"/>
          </w:tcPr>
          <w:p>
            <w:pPr>
              <w:spacing w:after="40"/>
              <w:jc w:val="right"/>
            </w:pPr>
            <w:r/>
            <w:r>
              <w:rPr>
                <w:rFonts w:ascii="Arial" w:hAnsi="Arial"/>
                <w:sz w:val="17"/>
              </w:rPr>
              <w:t>$248,796</w:t>
            </w:r>
          </w:p>
        </w:tc>
        <w:tc>
          <w:tcPr>
            <w:tcW w:type="dxa" w:w="1440"/>
            <w:shd w:val="clear" w:color="auto" w:fill="F2F5F8"/>
          </w:tcPr>
          <w:p>
            <w:pPr>
              <w:spacing w:after="40"/>
              <w:jc w:val="right"/>
            </w:pPr>
            <w:r/>
            <w:r>
              <w:rPr>
                <w:rFonts w:ascii="Arial" w:hAnsi="Arial"/>
                <w:sz w:val="17"/>
              </w:rPr>
              <w:t>0.72%</w:t>
            </w:r>
          </w:p>
        </w:tc>
      </w:tr>
      <w:tr>
        <w:tc>
          <w:tcPr>
            <w:tcW w:type="dxa" w:w="2160"/>
          </w:tcPr>
          <w:p>
            <w:pPr>
              <w:spacing w:after="40"/>
            </w:pPr>
            <w:r/>
            <w:r>
              <w:rPr>
                <w:rFonts w:ascii="Arial" w:hAnsi="Arial"/>
                <w:sz w:val="17"/>
              </w:rPr>
              <w:t>1 × DriX H9</w:t>
            </w:r>
          </w:p>
        </w:tc>
        <w:tc>
          <w:tcPr>
            <w:tcW w:type="dxa" w:w="1584"/>
          </w:tcPr>
          <w:p>
            <w:pPr>
              <w:spacing w:after="40"/>
              <w:jc w:val="right"/>
            </w:pPr>
            <w:r/>
            <w:r>
              <w:rPr>
                <w:rFonts w:ascii="Arial" w:hAnsi="Arial"/>
                <w:sz w:val="17"/>
              </w:rPr>
              <w:t>$2,506</w:t>
            </w:r>
          </w:p>
        </w:tc>
        <w:tc>
          <w:tcPr>
            <w:tcW w:type="dxa" w:w="1728"/>
          </w:tcPr>
          <w:p>
            <w:pPr>
              <w:spacing w:after="40"/>
              <w:jc w:val="right"/>
            </w:pPr>
            <w:r/>
            <w:r>
              <w:rPr>
                <w:rFonts w:ascii="Arial" w:hAnsi="Arial"/>
                <w:sz w:val="17"/>
              </w:rPr>
              <w:t>653.3</w:t>
            </w:r>
          </w:p>
        </w:tc>
        <w:tc>
          <w:tcPr>
            <w:tcW w:type="dxa" w:w="1728"/>
          </w:tcPr>
          <w:p>
            <w:pPr>
              <w:spacing w:after="40"/>
              <w:jc w:val="right"/>
            </w:pPr>
            <w:r/>
            <w:r>
              <w:rPr>
                <w:rFonts w:ascii="Arial" w:hAnsi="Arial"/>
                <w:sz w:val="17"/>
              </w:rPr>
              <w:t>$316,906</w:t>
            </w:r>
          </w:p>
        </w:tc>
        <w:tc>
          <w:tcPr>
            <w:tcW w:type="dxa" w:w="1440"/>
          </w:tcPr>
          <w:p>
            <w:pPr>
              <w:spacing w:after="40"/>
              <w:jc w:val="right"/>
            </w:pPr>
            <w:r/>
            <w:r>
              <w:rPr>
                <w:rFonts w:ascii="Arial" w:hAnsi="Arial"/>
                <w:sz w:val="17"/>
              </w:rPr>
              <w:t>0.79%</w:t>
            </w:r>
          </w:p>
        </w:tc>
      </w:tr>
    </w:tbl>
    <w:p>
      <w:pPr>
        <w:spacing w:after="200"/>
      </w:pPr>
      <w:r>
        <w:rPr>
          <w:rFonts w:ascii="Arial" w:hAnsi="Arial"/>
          <w:b w:val="0"/>
          <w:i/>
          <w:color w:val="5B6B7A"/>
          <w:sz w:val="16"/>
        </w:rPr>
        <w:t>Table 14 — Planning figures from the Exail ROE model, not measurements.</w:t>
      </w:r>
    </w:p>
    <w:p>
      <w:pPr>
        <w:spacing w:after="120"/>
      </w:pPr>
      <w:r>
        <w:rPr>
          <w:rFonts w:ascii="Arial" w:hAnsi="Arial"/>
          <w:b w:val="0"/>
          <w:i w:val="0"/>
          <w:sz w:val="20"/>
        </w:rPr>
        <w:t>Fuel is under one percent of mission cost in every configuration. Halving burn saves about a tenth of a percent of the total. The same curves used for endurance instead — one fewer refuel transit, more time on line — move the shore-refuel-transit ratio, and time is what the model is actually made of. This is the strongest argument for building an endurance tool rather than an economy tool, and it is why the framework below is organised around a reserve floor.</w:t>
      </w:r>
    </w:p>
    <w:p>
      <w:pPr>
        <w:pStyle w:val="Heading2"/>
      </w:pPr>
      <w:r>
        <w:t>8.2  The reserve policy — and why capacity is the wrong question</w:t>
      </w:r>
    </w:p>
    <w:p>
      <w:pPr>
        <w:spacing w:after="120"/>
      </w:pPr>
      <w:r>
        <w:rPr>
          <w:rFonts w:ascii="Arial" w:hAnsi="Arial"/>
          <w:b w:val="0"/>
          <w:i w:val="0"/>
          <w:sz w:val="20"/>
        </w:rPr>
        <w:t>Operating practice is to return to port with at least 25% indicated remaining. It is a floor rather than a target. The important structural point is that the policy is written in INDICATED PERCENT, not in litres — so the fuel a mission may spend before reaching it follows from the measured gauge scale alone:</w:t>
      </w:r>
    </w:p>
    <w:p>
      <w:pPr>
        <w:spacing w:before="80" w:after="40"/>
        <w:ind w:left="432"/>
      </w:pPr>
      <w:r>
        <w:rPr>
          <w:rFonts w:ascii="Consolas" w:hAnsi="Consolas"/>
          <w:b/>
          <w:sz w:val="19"/>
        </w:rPr>
        <w:t>mission fuel  =  litres the gauge holds between 100% and 25%  =  185.7 L</w:t>
      </w:r>
    </w:p>
    <w:p>
      <w:pPr>
        <w:spacing w:after="160"/>
        <w:ind w:left="432"/>
      </w:pPr>
      <w:r>
        <w:rPr>
          <w:rFonts w:ascii="Arial" w:hAnsi="Arial"/>
          <w:i/>
          <w:color w:val="5B6B7A"/>
          <w:sz w:val="17"/>
        </w:rPr>
        <w:t>An integral over the gauge, not capacity x (1 - reserve). No tank-capacity assumption appears anywhere in it.</w:t>
      </w:r>
    </w:p>
    <w:p>
      <w:pPr>
        <w:spacing w:after="120"/>
      </w:pPr>
      <w:r>
        <w:rPr>
          <w:rFonts w:ascii="Arial" w:hAnsi="Arial"/>
          <w:b w:val="0"/>
          <w:i w:val="0"/>
          <w:sz w:val="20"/>
        </w:rPr>
        <w:t>That figure is on the ADOPTED reading (A) of §6.5, where the gauge spans the 250 L drawing volume and the points outside the measured band carry the balance at 2.57 L/point. On the conservative reading (B) — the gauge speaking only for its own span, a flat 2.06 L/point — the same policy gives 154.5 L, and a linear 250 L tank would give 187.5 L, which is 21.4% more than the measured band alone supports. The three sit 154 / 186 / 188 L, and the choice between the first two is worth 31 L — 9 hours at survey speed.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952"/>
            <w:shd w:val="clear" w:color="auto" w:fill="1F3B60"/>
          </w:tcPr>
          <w:p>
            <w:pPr>
              <w:spacing w:after="40"/>
            </w:pPr>
            <w:r/>
            <w:r>
              <w:rPr>
                <w:rFonts w:ascii="Arial" w:hAnsi="Arial"/>
                <w:b/>
                <w:color w:val="FFFFFF"/>
                <w:sz w:val="17"/>
              </w:rPr>
              <w:t>Planning basis</w:t>
            </w:r>
          </w:p>
        </w:tc>
        <w:tc>
          <w:tcPr>
            <w:tcW w:type="dxa" w:w="1152"/>
            <w:shd w:val="clear" w:color="auto" w:fill="1F3B60"/>
          </w:tcPr>
          <w:p>
            <w:pPr>
              <w:spacing w:after="40"/>
              <w:jc w:val="right"/>
            </w:pPr>
            <w:r/>
            <w:r>
              <w:rPr>
                <w:rFonts w:ascii="Arial" w:hAnsi="Arial"/>
                <w:b/>
                <w:color w:val="FFFFFF"/>
                <w:sz w:val="17"/>
              </w:rPr>
              <w:t>Capacity</w:t>
            </w:r>
          </w:p>
        </w:tc>
        <w:tc>
          <w:tcPr>
            <w:tcW w:type="dxa" w:w="1080"/>
            <w:shd w:val="clear" w:color="auto" w:fill="1F3B60"/>
          </w:tcPr>
          <w:p>
            <w:pPr>
              <w:spacing w:after="40"/>
              <w:jc w:val="right"/>
            </w:pPr>
            <w:r/>
            <w:r>
              <w:rPr>
                <w:rFonts w:ascii="Arial" w:hAnsi="Arial"/>
                <w:b/>
                <w:color w:val="FFFFFF"/>
                <w:sz w:val="17"/>
              </w:rPr>
              <w:t>Reserve</w:t>
            </w:r>
          </w:p>
        </w:tc>
        <w:tc>
          <w:tcPr>
            <w:tcW w:type="dxa" w:w="1368"/>
            <w:shd w:val="clear" w:color="auto" w:fill="1F3B60"/>
          </w:tcPr>
          <w:p>
            <w:pPr>
              <w:spacing w:after="40"/>
              <w:jc w:val="right"/>
            </w:pPr>
            <w:r/>
            <w:r>
              <w:rPr>
                <w:rFonts w:ascii="Arial" w:hAnsi="Arial"/>
                <w:b/>
                <w:color w:val="FFFFFF"/>
                <w:sz w:val="17"/>
              </w:rPr>
              <w:t>Mission fuel</w:t>
            </w:r>
          </w:p>
        </w:tc>
        <w:tc>
          <w:tcPr>
            <w:tcW w:type="dxa" w:w="1440"/>
            <w:shd w:val="clear" w:color="auto" w:fill="1F3B60"/>
          </w:tcPr>
          <w:p>
            <w:pPr>
              <w:spacing w:after="40"/>
              <w:jc w:val="right"/>
            </w:pPr>
            <w:r/>
            <w:r>
              <w:rPr>
                <w:rFonts w:ascii="Arial" w:hAnsi="Arial"/>
                <w:b/>
                <w:color w:val="FFFFFF"/>
                <w:sz w:val="17"/>
              </w:rPr>
              <w:t>Range at 8 kt</w:t>
            </w:r>
          </w:p>
        </w:tc>
        <w:tc>
          <w:tcPr>
            <w:tcW w:type="dxa" w:w="1152"/>
            <w:shd w:val="clear" w:color="auto" w:fill="1F3B60"/>
          </w:tcPr>
          <w:p>
            <w:pPr>
              <w:spacing w:after="40"/>
              <w:jc w:val="right"/>
            </w:pPr>
            <w:r/>
            <w:r>
              <w:rPr>
                <w:rFonts w:ascii="Arial" w:hAnsi="Arial"/>
                <w:b/>
                <w:color w:val="FFFFFF"/>
                <w:sz w:val="17"/>
              </w:rPr>
              <w:t>Endurance</w:t>
            </w:r>
          </w:p>
        </w:tc>
      </w:tr>
      <w:tr>
        <w:tc>
          <w:tcPr>
            <w:tcW w:type="dxa" w:w="2952"/>
            <w:shd w:val="clear" w:color="auto" w:fill="FDF3E0"/>
          </w:tcPr>
          <w:p>
            <w:pPr>
              <w:spacing w:after="40"/>
            </w:pPr>
            <w:r/>
            <w:r>
              <w:rPr>
                <w:rFonts w:ascii="Arial" w:hAnsi="Arial"/>
                <w:sz w:val="17"/>
              </w:rPr>
              <w:t>Reading B — gauge span only (2.06 L/pt flat)</w:t>
            </w:r>
          </w:p>
        </w:tc>
        <w:tc>
          <w:tcPr>
            <w:tcW w:type="dxa" w:w="1152"/>
            <w:shd w:val="clear" w:color="auto" w:fill="FDF3E0"/>
          </w:tcPr>
          <w:p>
            <w:pPr>
              <w:spacing w:after="40"/>
              <w:jc w:val="right"/>
            </w:pPr>
            <w:r/>
            <w:r>
              <w:rPr>
                <w:rFonts w:ascii="Arial" w:hAnsi="Arial"/>
                <w:sz w:val="17"/>
              </w:rPr>
              <w:t>206.0 L</w:t>
            </w:r>
          </w:p>
        </w:tc>
        <w:tc>
          <w:tcPr>
            <w:tcW w:type="dxa" w:w="1080"/>
            <w:shd w:val="clear" w:color="auto" w:fill="FDF3E0"/>
          </w:tcPr>
          <w:p>
            <w:pPr>
              <w:spacing w:after="40"/>
              <w:jc w:val="right"/>
            </w:pPr>
            <w:r/>
            <w:r>
              <w:rPr>
                <w:rFonts w:ascii="Arial" w:hAnsi="Arial"/>
                <w:sz w:val="17"/>
              </w:rPr>
              <w:t>51.5 L</w:t>
            </w:r>
          </w:p>
        </w:tc>
        <w:tc>
          <w:tcPr>
            <w:tcW w:type="dxa" w:w="1368"/>
            <w:shd w:val="clear" w:color="auto" w:fill="FDF3E0"/>
          </w:tcPr>
          <w:p>
            <w:pPr>
              <w:spacing w:after="40"/>
              <w:jc w:val="right"/>
            </w:pPr>
            <w:r/>
            <w:r>
              <w:rPr>
                <w:rFonts w:ascii="Arial" w:hAnsi="Arial"/>
                <w:sz w:val="17"/>
              </w:rPr>
              <w:t>154.5 L</w:t>
            </w:r>
          </w:p>
        </w:tc>
        <w:tc>
          <w:tcPr>
            <w:tcW w:type="dxa" w:w="1440"/>
            <w:shd w:val="clear" w:color="auto" w:fill="FDF3E0"/>
          </w:tcPr>
          <w:p>
            <w:pPr>
              <w:spacing w:after="40"/>
              <w:jc w:val="right"/>
            </w:pPr>
            <w:r/>
            <w:r>
              <w:rPr>
                <w:rFonts w:ascii="Arial" w:hAnsi="Arial"/>
                <w:sz w:val="17"/>
              </w:rPr>
              <w:t>373 NM</w:t>
            </w:r>
          </w:p>
        </w:tc>
        <w:tc>
          <w:tcPr>
            <w:tcW w:type="dxa" w:w="1152"/>
            <w:shd w:val="clear" w:color="auto" w:fill="FDF3E0"/>
          </w:tcPr>
          <w:p>
            <w:pPr>
              <w:spacing w:after="40"/>
              <w:jc w:val="right"/>
            </w:pPr>
            <w:r/>
            <w:r>
              <w:rPr>
                <w:rFonts w:ascii="Arial" w:hAnsi="Arial"/>
                <w:sz w:val="17"/>
              </w:rPr>
              <w:t>46.6 h</w:t>
            </w:r>
          </w:p>
        </w:tc>
      </w:tr>
      <w:tr>
        <w:tc>
          <w:tcPr>
            <w:tcW w:type="dxa" w:w="2952"/>
            <w:shd w:val="clear" w:color="auto" w:fill="F2F5F8"/>
          </w:tcPr>
          <w:p>
            <w:pPr>
              <w:spacing w:after="40"/>
            </w:pPr>
            <w:r/>
            <w:r>
              <w:rPr>
                <w:rFonts w:ascii="Arial" w:hAnsi="Arial"/>
                <w:sz w:val="17"/>
              </w:rPr>
              <w:t>Reading A — drawings honoured (ADOPTED)</w:t>
            </w:r>
          </w:p>
        </w:tc>
        <w:tc>
          <w:tcPr>
            <w:tcW w:type="dxa" w:w="1152"/>
            <w:shd w:val="clear" w:color="auto" w:fill="F2F5F8"/>
          </w:tcPr>
          <w:p>
            <w:pPr>
              <w:spacing w:after="40"/>
              <w:jc w:val="right"/>
            </w:pPr>
            <w:r/>
            <w:r>
              <w:rPr>
                <w:rFonts w:ascii="Arial" w:hAnsi="Arial"/>
                <w:sz w:val="17"/>
              </w:rPr>
              <w:t>250.0 L</w:t>
            </w:r>
          </w:p>
        </w:tc>
        <w:tc>
          <w:tcPr>
            <w:tcW w:type="dxa" w:w="1080"/>
            <w:shd w:val="clear" w:color="auto" w:fill="F2F5F8"/>
          </w:tcPr>
          <w:p>
            <w:pPr>
              <w:spacing w:after="40"/>
              <w:jc w:val="right"/>
            </w:pPr>
            <w:r/>
            <w:r>
              <w:rPr>
                <w:rFonts w:ascii="Arial" w:hAnsi="Arial"/>
                <w:sz w:val="17"/>
              </w:rPr>
              <w:t>64.3 L</w:t>
            </w:r>
          </w:p>
        </w:tc>
        <w:tc>
          <w:tcPr>
            <w:tcW w:type="dxa" w:w="1368"/>
            <w:shd w:val="clear" w:color="auto" w:fill="F2F5F8"/>
          </w:tcPr>
          <w:p>
            <w:pPr>
              <w:spacing w:after="40"/>
              <w:jc w:val="right"/>
            </w:pPr>
            <w:r/>
            <w:r>
              <w:rPr>
                <w:rFonts w:ascii="Arial" w:hAnsi="Arial"/>
                <w:sz w:val="17"/>
              </w:rPr>
              <w:t>185.7 L</w:t>
            </w:r>
          </w:p>
        </w:tc>
        <w:tc>
          <w:tcPr>
            <w:tcW w:type="dxa" w:w="1440"/>
            <w:shd w:val="clear" w:color="auto" w:fill="F2F5F8"/>
          </w:tcPr>
          <w:p>
            <w:pPr>
              <w:spacing w:after="40"/>
              <w:jc w:val="right"/>
            </w:pPr>
            <w:r/>
            <w:r>
              <w:rPr>
                <w:rFonts w:ascii="Arial" w:hAnsi="Arial"/>
                <w:sz w:val="17"/>
              </w:rPr>
              <w:t>448 NM</w:t>
            </w:r>
          </w:p>
        </w:tc>
        <w:tc>
          <w:tcPr>
            <w:tcW w:type="dxa" w:w="1152"/>
            <w:shd w:val="clear" w:color="auto" w:fill="F2F5F8"/>
          </w:tcPr>
          <w:p>
            <w:pPr>
              <w:spacing w:after="40"/>
              <w:jc w:val="right"/>
            </w:pPr>
            <w:r/>
            <w:r>
              <w:rPr>
                <w:rFonts w:ascii="Arial" w:hAnsi="Arial"/>
                <w:sz w:val="17"/>
              </w:rPr>
              <w:t>56.0 h</w:t>
            </w:r>
          </w:p>
        </w:tc>
      </w:tr>
    </w:tbl>
    <w:p>
      <w:pPr>
        <w:spacing w:after="200"/>
      </w:pPr>
      <w:r>
        <w:rPr>
          <w:rFonts w:ascii="Arial" w:hAnsi="Arial"/>
          <w:b w:val="0"/>
          <w:i/>
          <w:color w:val="5B6B7A"/>
          <w:sz w:val="16"/>
        </w:rPr>
        <w:t>Table 15 — The two readings of the 44 L gap, on the EM2040 curve measured today. The adopted row is the one the planner and the needle both follow; the other is what the measured band alone supports. Difference: 75 NM and 9.4 h.</w:t>
      </w:r>
    </w:p>
    <w:p>
      <w:pPr>
        <w:spacing w:after="120"/>
      </w:pPr>
      <w:r>
        <w:rPr>
          <w:rFonts w:ascii="Arial" w:hAnsi="Arial"/>
          <w:b w:val="0"/>
          <w:i w:val="0"/>
          <w:sz w:val="20"/>
        </w:rPr>
        <w:t>For completeness, the same planning across every capacity basis the model file offers — these remain useful as a sensitivity, but note that the gauge row above does not depend on any of them:</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384"/>
            <w:shd w:val="clear" w:color="auto" w:fill="1F3B60"/>
          </w:tcPr>
          <w:p>
            <w:pPr>
              <w:spacing w:after="40"/>
            </w:pPr>
            <w:r/>
            <w:r>
              <w:rPr>
                <w:rFonts w:ascii="Arial" w:hAnsi="Arial"/>
                <w:b/>
                <w:color w:val="FFFFFF"/>
                <w:sz w:val="17"/>
              </w:rPr>
              <w:t>Capacity basis</w:t>
            </w:r>
          </w:p>
        </w:tc>
        <w:tc>
          <w:tcPr>
            <w:tcW w:type="dxa" w:w="1152"/>
            <w:shd w:val="clear" w:color="auto" w:fill="1F3B60"/>
          </w:tcPr>
          <w:p>
            <w:pPr>
              <w:spacing w:after="40"/>
              <w:jc w:val="right"/>
            </w:pPr>
            <w:r/>
            <w:r>
              <w:rPr>
                <w:rFonts w:ascii="Arial" w:hAnsi="Arial"/>
                <w:b/>
                <w:color w:val="FFFFFF"/>
                <w:sz w:val="17"/>
              </w:rPr>
              <w:t>Capacity</w:t>
            </w:r>
          </w:p>
        </w:tc>
        <w:tc>
          <w:tcPr>
            <w:tcW w:type="dxa" w:w="1080"/>
            <w:shd w:val="clear" w:color="auto" w:fill="1F3B60"/>
          </w:tcPr>
          <w:p>
            <w:pPr>
              <w:spacing w:after="40"/>
              <w:jc w:val="right"/>
            </w:pPr>
            <w:r/>
            <w:r>
              <w:rPr>
                <w:rFonts w:ascii="Arial" w:hAnsi="Arial"/>
                <w:b/>
                <w:color w:val="FFFFFF"/>
                <w:sz w:val="17"/>
              </w:rPr>
              <w:t>Reserve</w:t>
            </w:r>
          </w:p>
        </w:tc>
        <w:tc>
          <w:tcPr>
            <w:tcW w:type="dxa" w:w="1080"/>
            <w:shd w:val="clear" w:color="auto" w:fill="1F3B60"/>
          </w:tcPr>
          <w:p>
            <w:pPr>
              <w:spacing w:after="40"/>
              <w:jc w:val="right"/>
            </w:pPr>
            <w:r/>
            <w:r>
              <w:rPr>
                <w:rFonts w:ascii="Arial" w:hAnsi="Arial"/>
                <w:b/>
                <w:color w:val="FFFFFF"/>
                <w:sz w:val="17"/>
              </w:rPr>
              <w:t>Usable</w:t>
            </w:r>
          </w:p>
        </w:tc>
        <w:tc>
          <w:tcPr>
            <w:tcW w:type="dxa" w:w="1440"/>
            <w:shd w:val="clear" w:color="auto" w:fill="1F3B60"/>
          </w:tcPr>
          <w:p>
            <w:pPr>
              <w:spacing w:after="40"/>
              <w:jc w:val="right"/>
            </w:pPr>
            <w:r/>
            <w:r>
              <w:rPr>
                <w:rFonts w:ascii="Arial" w:hAnsi="Arial"/>
                <w:b/>
                <w:color w:val="FFFFFF"/>
                <w:sz w:val="17"/>
              </w:rPr>
              <w:t>Range at 8 kt</w:t>
            </w:r>
          </w:p>
        </w:tc>
        <w:tc>
          <w:tcPr>
            <w:tcW w:type="dxa" w:w="1224"/>
            <w:shd w:val="clear" w:color="auto" w:fill="1F3B60"/>
          </w:tcPr>
          <w:p>
            <w:pPr>
              <w:spacing w:after="40"/>
              <w:jc w:val="right"/>
            </w:pPr>
            <w:r/>
            <w:r>
              <w:rPr>
                <w:rFonts w:ascii="Arial" w:hAnsi="Arial"/>
                <w:b/>
                <w:color w:val="FFFFFF"/>
                <w:sz w:val="17"/>
              </w:rPr>
              <w:t>Endurance</w:t>
            </w:r>
          </w:p>
        </w:tc>
      </w:tr>
      <w:tr>
        <w:tc>
          <w:tcPr>
            <w:tcW w:type="dxa" w:w="3384"/>
          </w:tcPr>
          <w:p>
            <w:pPr>
              <w:spacing w:after="40"/>
            </w:pPr>
            <w:r/>
            <w:r>
              <w:rPr>
                <w:rFonts w:ascii="Arial" w:hAnsi="Arial"/>
                <w:sz w:val="17"/>
              </w:rPr>
              <w:t>250 L — physical tank volume (drawings)</w:t>
            </w:r>
          </w:p>
        </w:tc>
        <w:tc>
          <w:tcPr>
            <w:tcW w:type="dxa" w:w="1152"/>
          </w:tcPr>
          <w:p>
            <w:pPr>
              <w:spacing w:after="40"/>
              <w:jc w:val="right"/>
            </w:pPr>
            <w:r/>
            <w:r>
              <w:rPr>
                <w:rFonts w:ascii="Arial" w:hAnsi="Arial"/>
                <w:sz w:val="17"/>
              </w:rPr>
              <w:t>250.0 L</w:t>
            </w:r>
          </w:p>
        </w:tc>
        <w:tc>
          <w:tcPr>
            <w:tcW w:type="dxa" w:w="1080"/>
          </w:tcPr>
          <w:p>
            <w:pPr>
              <w:spacing w:after="40"/>
              <w:jc w:val="right"/>
            </w:pPr>
            <w:r/>
            <w:r>
              <w:rPr>
                <w:rFonts w:ascii="Arial" w:hAnsi="Arial"/>
                <w:sz w:val="17"/>
              </w:rPr>
              <w:t>62.5 L</w:t>
            </w:r>
          </w:p>
        </w:tc>
        <w:tc>
          <w:tcPr>
            <w:tcW w:type="dxa" w:w="1080"/>
          </w:tcPr>
          <w:p>
            <w:pPr>
              <w:spacing w:after="40"/>
              <w:jc w:val="right"/>
            </w:pPr>
            <w:r/>
            <w:r>
              <w:rPr>
                <w:rFonts w:ascii="Arial" w:hAnsi="Arial"/>
                <w:sz w:val="17"/>
              </w:rPr>
              <w:t>187.5 L</w:t>
            </w:r>
          </w:p>
        </w:tc>
        <w:tc>
          <w:tcPr>
            <w:tcW w:type="dxa" w:w="1440"/>
          </w:tcPr>
          <w:p>
            <w:pPr>
              <w:spacing w:after="40"/>
              <w:jc w:val="right"/>
            </w:pPr>
            <w:r/>
            <w:r>
              <w:rPr>
                <w:rFonts w:ascii="Arial" w:hAnsi="Arial"/>
                <w:sz w:val="17"/>
              </w:rPr>
              <w:t>453 NM</w:t>
            </w:r>
          </w:p>
        </w:tc>
        <w:tc>
          <w:tcPr>
            <w:tcW w:type="dxa" w:w="1224"/>
          </w:tcPr>
          <w:p>
            <w:pPr>
              <w:spacing w:after="40"/>
              <w:jc w:val="right"/>
            </w:pPr>
            <w:r/>
            <w:r>
              <w:rPr>
                <w:rFonts w:ascii="Arial" w:hAnsi="Arial"/>
                <w:sz w:val="17"/>
              </w:rPr>
              <w:t>56.6 h</w:t>
            </w:r>
          </w:p>
        </w:tc>
      </w:tr>
      <w:tr>
        <w:tc>
          <w:tcPr>
            <w:tcW w:type="dxa" w:w="3384"/>
            <w:shd w:val="clear" w:color="auto" w:fill="F2F5F8"/>
          </w:tcPr>
          <w:p>
            <w:pPr>
              <w:spacing w:after="40"/>
            </w:pPr>
            <w:r/>
            <w:r>
              <w:rPr>
                <w:rFonts w:ascii="Arial" w:hAnsi="Arial"/>
                <w:sz w:val="17"/>
              </w:rPr>
              <w:t>206 L — measured gauge scale (2.06 L/point)</w:t>
            </w:r>
          </w:p>
        </w:tc>
        <w:tc>
          <w:tcPr>
            <w:tcW w:type="dxa" w:w="1152"/>
            <w:shd w:val="clear" w:color="auto" w:fill="F2F5F8"/>
          </w:tcPr>
          <w:p>
            <w:pPr>
              <w:spacing w:after="40"/>
              <w:jc w:val="right"/>
            </w:pPr>
            <w:r/>
            <w:r>
              <w:rPr>
                <w:rFonts w:ascii="Arial" w:hAnsi="Arial"/>
                <w:sz w:val="17"/>
              </w:rPr>
              <w:t>206.0 L</w:t>
            </w:r>
          </w:p>
        </w:tc>
        <w:tc>
          <w:tcPr>
            <w:tcW w:type="dxa" w:w="1080"/>
            <w:shd w:val="clear" w:color="auto" w:fill="F2F5F8"/>
          </w:tcPr>
          <w:p>
            <w:pPr>
              <w:spacing w:after="40"/>
              <w:jc w:val="right"/>
            </w:pPr>
            <w:r/>
            <w:r>
              <w:rPr>
                <w:rFonts w:ascii="Arial" w:hAnsi="Arial"/>
                <w:sz w:val="17"/>
              </w:rPr>
              <w:t>51.5 L</w:t>
            </w:r>
          </w:p>
        </w:tc>
        <w:tc>
          <w:tcPr>
            <w:tcW w:type="dxa" w:w="1080"/>
            <w:shd w:val="clear" w:color="auto" w:fill="F2F5F8"/>
          </w:tcPr>
          <w:p>
            <w:pPr>
              <w:spacing w:after="40"/>
              <w:jc w:val="right"/>
            </w:pPr>
            <w:r/>
            <w:r>
              <w:rPr>
                <w:rFonts w:ascii="Arial" w:hAnsi="Arial"/>
                <w:sz w:val="17"/>
              </w:rPr>
              <w:t>154.5 L</w:t>
            </w:r>
          </w:p>
        </w:tc>
        <w:tc>
          <w:tcPr>
            <w:tcW w:type="dxa" w:w="1440"/>
            <w:shd w:val="clear" w:color="auto" w:fill="F2F5F8"/>
          </w:tcPr>
          <w:p>
            <w:pPr>
              <w:spacing w:after="40"/>
              <w:jc w:val="right"/>
            </w:pPr>
            <w:r/>
            <w:r>
              <w:rPr>
                <w:rFonts w:ascii="Arial" w:hAnsi="Arial"/>
                <w:sz w:val="17"/>
              </w:rPr>
              <w:t>373 NM</w:t>
            </w:r>
          </w:p>
        </w:tc>
        <w:tc>
          <w:tcPr>
            <w:tcW w:type="dxa" w:w="1224"/>
            <w:shd w:val="clear" w:color="auto" w:fill="F2F5F8"/>
          </w:tcPr>
          <w:p>
            <w:pPr>
              <w:spacing w:after="40"/>
              <w:jc w:val="right"/>
            </w:pPr>
            <w:r/>
            <w:r>
              <w:rPr>
                <w:rFonts w:ascii="Arial" w:hAnsi="Arial"/>
                <w:sz w:val="17"/>
              </w:rPr>
              <w:t>46.6 h</w:t>
            </w:r>
          </w:p>
        </w:tc>
      </w:tr>
      <w:tr>
        <w:tc>
          <w:tcPr>
            <w:tcW w:type="dxa" w:w="3384"/>
          </w:tcPr>
          <w:p>
            <w:pPr>
              <w:spacing w:after="40"/>
            </w:pPr>
            <w:r/>
            <w:r>
              <w:rPr>
                <w:rFonts w:ascii="Arial" w:hAnsi="Arial"/>
                <w:sz w:val="17"/>
              </w:rPr>
              <w:t>209 L — DD2024 refuel event</w:t>
            </w:r>
          </w:p>
        </w:tc>
        <w:tc>
          <w:tcPr>
            <w:tcW w:type="dxa" w:w="1152"/>
          </w:tcPr>
          <w:p>
            <w:pPr>
              <w:spacing w:after="40"/>
              <w:jc w:val="right"/>
            </w:pPr>
            <w:r/>
            <w:r>
              <w:rPr>
                <w:rFonts w:ascii="Arial" w:hAnsi="Arial"/>
                <w:sz w:val="17"/>
              </w:rPr>
              <w:t>209.0 L</w:t>
            </w:r>
          </w:p>
        </w:tc>
        <w:tc>
          <w:tcPr>
            <w:tcW w:type="dxa" w:w="1080"/>
          </w:tcPr>
          <w:p>
            <w:pPr>
              <w:spacing w:after="40"/>
              <w:jc w:val="right"/>
            </w:pPr>
            <w:r/>
            <w:r>
              <w:rPr>
                <w:rFonts w:ascii="Arial" w:hAnsi="Arial"/>
                <w:sz w:val="17"/>
              </w:rPr>
              <w:t>52.3 L</w:t>
            </w:r>
          </w:p>
        </w:tc>
        <w:tc>
          <w:tcPr>
            <w:tcW w:type="dxa" w:w="1080"/>
          </w:tcPr>
          <w:p>
            <w:pPr>
              <w:spacing w:after="40"/>
              <w:jc w:val="right"/>
            </w:pPr>
            <w:r/>
            <w:r>
              <w:rPr>
                <w:rFonts w:ascii="Arial" w:hAnsi="Arial"/>
                <w:sz w:val="17"/>
              </w:rPr>
              <w:t>156.8 L</w:t>
            </w:r>
          </w:p>
        </w:tc>
        <w:tc>
          <w:tcPr>
            <w:tcW w:type="dxa" w:w="1440"/>
          </w:tcPr>
          <w:p>
            <w:pPr>
              <w:spacing w:after="40"/>
              <w:jc w:val="right"/>
            </w:pPr>
            <w:r/>
            <w:r>
              <w:rPr>
                <w:rFonts w:ascii="Arial" w:hAnsi="Arial"/>
                <w:sz w:val="17"/>
              </w:rPr>
              <w:t>378 NM</w:t>
            </w:r>
          </w:p>
        </w:tc>
        <w:tc>
          <w:tcPr>
            <w:tcW w:type="dxa" w:w="1224"/>
          </w:tcPr>
          <w:p>
            <w:pPr>
              <w:spacing w:after="40"/>
              <w:jc w:val="right"/>
            </w:pPr>
            <w:r/>
            <w:r>
              <w:rPr>
                <w:rFonts w:ascii="Arial" w:hAnsi="Arial"/>
                <w:sz w:val="17"/>
              </w:rPr>
              <w:t>47.3 h</w:t>
            </w:r>
          </w:p>
        </w:tc>
      </w:tr>
      <w:tr>
        <w:tc>
          <w:tcPr>
            <w:tcW w:type="dxa" w:w="3384"/>
            <w:shd w:val="clear" w:color="auto" w:fill="F2F5F8"/>
          </w:tcPr>
          <w:p>
            <w:pPr>
              <w:spacing w:after="40"/>
            </w:pPr>
            <w:r/>
            <w:r>
              <w:rPr>
                <w:rFonts w:ascii="Arial" w:hAnsi="Arial"/>
                <w:sz w:val="17"/>
              </w:rPr>
              <w:t>205 L — 2022 telemetry, first interval excluded</w:t>
            </w:r>
          </w:p>
        </w:tc>
        <w:tc>
          <w:tcPr>
            <w:tcW w:type="dxa" w:w="1152"/>
            <w:shd w:val="clear" w:color="auto" w:fill="F2F5F8"/>
          </w:tcPr>
          <w:p>
            <w:pPr>
              <w:spacing w:after="40"/>
              <w:jc w:val="right"/>
            </w:pPr>
            <w:r/>
            <w:r>
              <w:rPr>
                <w:rFonts w:ascii="Arial" w:hAnsi="Arial"/>
                <w:sz w:val="17"/>
              </w:rPr>
              <w:t>204.9 L</w:t>
            </w:r>
          </w:p>
        </w:tc>
        <w:tc>
          <w:tcPr>
            <w:tcW w:type="dxa" w:w="1080"/>
            <w:shd w:val="clear" w:color="auto" w:fill="F2F5F8"/>
          </w:tcPr>
          <w:p>
            <w:pPr>
              <w:spacing w:after="40"/>
              <w:jc w:val="right"/>
            </w:pPr>
            <w:r/>
            <w:r>
              <w:rPr>
                <w:rFonts w:ascii="Arial" w:hAnsi="Arial"/>
                <w:sz w:val="17"/>
              </w:rPr>
              <w:t>51.2 L</w:t>
            </w:r>
          </w:p>
        </w:tc>
        <w:tc>
          <w:tcPr>
            <w:tcW w:type="dxa" w:w="1080"/>
            <w:shd w:val="clear" w:color="auto" w:fill="F2F5F8"/>
          </w:tcPr>
          <w:p>
            <w:pPr>
              <w:spacing w:after="40"/>
              <w:jc w:val="right"/>
            </w:pPr>
            <w:r/>
            <w:r>
              <w:rPr>
                <w:rFonts w:ascii="Arial" w:hAnsi="Arial"/>
                <w:sz w:val="17"/>
              </w:rPr>
              <w:t>153.6 L</w:t>
            </w:r>
          </w:p>
        </w:tc>
        <w:tc>
          <w:tcPr>
            <w:tcW w:type="dxa" w:w="1440"/>
            <w:shd w:val="clear" w:color="auto" w:fill="F2F5F8"/>
          </w:tcPr>
          <w:p>
            <w:pPr>
              <w:spacing w:after="40"/>
              <w:jc w:val="right"/>
            </w:pPr>
            <w:r/>
            <w:r>
              <w:rPr>
                <w:rFonts w:ascii="Arial" w:hAnsi="Arial"/>
                <w:sz w:val="17"/>
              </w:rPr>
              <w:t>371 NM</w:t>
            </w:r>
          </w:p>
        </w:tc>
        <w:tc>
          <w:tcPr>
            <w:tcW w:type="dxa" w:w="1224"/>
            <w:shd w:val="clear" w:color="auto" w:fill="F2F5F8"/>
          </w:tcPr>
          <w:p>
            <w:pPr>
              <w:spacing w:after="40"/>
              <w:jc w:val="right"/>
            </w:pPr>
            <w:r/>
            <w:r>
              <w:rPr>
                <w:rFonts w:ascii="Arial" w:hAnsi="Arial"/>
                <w:sz w:val="17"/>
              </w:rPr>
              <w:t>46.4 h</w:t>
            </w:r>
          </w:p>
        </w:tc>
      </w:tr>
      <w:tr>
        <w:tc>
          <w:tcPr>
            <w:tcW w:type="dxa" w:w="3384"/>
          </w:tcPr>
          <w:p>
            <w:pPr>
              <w:spacing w:after="40"/>
            </w:pPr>
            <w:r/>
            <w:r>
              <w:rPr>
                <w:rFonts w:ascii="Arial" w:hAnsi="Arial"/>
                <w:sz w:val="17"/>
              </w:rPr>
              <w:t>173 L — 2022 telemetry as-is (worst case)</w:t>
            </w:r>
          </w:p>
        </w:tc>
        <w:tc>
          <w:tcPr>
            <w:tcW w:type="dxa" w:w="1152"/>
          </w:tcPr>
          <w:p>
            <w:pPr>
              <w:spacing w:after="40"/>
              <w:jc w:val="right"/>
            </w:pPr>
            <w:r/>
            <w:r>
              <w:rPr>
                <w:rFonts w:ascii="Arial" w:hAnsi="Arial"/>
                <w:sz w:val="17"/>
              </w:rPr>
              <w:t>173.4 L</w:t>
            </w:r>
          </w:p>
        </w:tc>
        <w:tc>
          <w:tcPr>
            <w:tcW w:type="dxa" w:w="1080"/>
          </w:tcPr>
          <w:p>
            <w:pPr>
              <w:spacing w:after="40"/>
              <w:jc w:val="right"/>
            </w:pPr>
            <w:r/>
            <w:r>
              <w:rPr>
                <w:rFonts w:ascii="Arial" w:hAnsi="Arial"/>
                <w:sz w:val="17"/>
              </w:rPr>
              <w:t>43.4 L</w:t>
            </w:r>
          </w:p>
        </w:tc>
        <w:tc>
          <w:tcPr>
            <w:tcW w:type="dxa" w:w="1080"/>
          </w:tcPr>
          <w:p>
            <w:pPr>
              <w:spacing w:after="40"/>
              <w:jc w:val="right"/>
            </w:pPr>
            <w:r/>
            <w:r>
              <w:rPr>
                <w:rFonts w:ascii="Arial" w:hAnsi="Arial"/>
                <w:sz w:val="17"/>
              </w:rPr>
              <w:t>130.1 L</w:t>
            </w:r>
          </w:p>
        </w:tc>
        <w:tc>
          <w:tcPr>
            <w:tcW w:type="dxa" w:w="1440"/>
          </w:tcPr>
          <w:p>
            <w:pPr>
              <w:spacing w:after="40"/>
              <w:jc w:val="right"/>
            </w:pPr>
            <w:r/>
            <w:r>
              <w:rPr>
                <w:rFonts w:ascii="Arial" w:hAnsi="Arial"/>
                <w:sz w:val="17"/>
              </w:rPr>
              <w:t>314 NM</w:t>
            </w:r>
          </w:p>
        </w:tc>
        <w:tc>
          <w:tcPr>
            <w:tcW w:type="dxa" w:w="1224"/>
          </w:tcPr>
          <w:p>
            <w:pPr>
              <w:spacing w:after="40"/>
              <w:jc w:val="right"/>
            </w:pPr>
            <w:r/>
            <w:r>
              <w:rPr>
                <w:rFonts w:ascii="Arial" w:hAnsi="Arial"/>
                <w:sz w:val="17"/>
              </w:rPr>
              <w:t>39.2 h</w:t>
            </w:r>
          </w:p>
        </w:tc>
      </w:tr>
    </w:tbl>
    <w:p>
      <w:pPr>
        <w:spacing w:after="200"/>
      </w:pPr>
      <w:r>
        <w:rPr>
          <w:rFonts w:ascii="Arial" w:hAnsi="Arial"/>
          <w:b w:val="0"/>
          <w:i/>
          <w:color w:val="5B6B7A"/>
          <w:sz w:val="16"/>
        </w:rPr>
        <w:t>Table 15b — Capacity sensitivity on the EM2040 curve, to the reserve floor.</w:t>
      </w:r>
    </w:p>
    <w:p>
      <w:pPr>
        <w:jc w:val="center"/>
      </w:pPr>
      <w:r>
        <w:drawing>
          <wp:inline xmlns:a="http://schemas.openxmlformats.org/drawingml/2006/main" xmlns:pic="http://schemas.openxmlformats.org/drawingml/2006/picture">
            <wp:extent cx="5669280" cy="3402573"/>
            <wp:docPr id="12" name="Picture 12"/>
            <wp:cNvGraphicFramePr>
              <a:graphicFrameLocks noChangeAspect="1"/>
            </wp:cNvGraphicFramePr>
            <a:graphic>
              <a:graphicData uri="http://schemas.openxmlformats.org/drawingml/2006/picture">
                <pic:pic>
                  <pic:nvPicPr>
                    <pic:cNvPr id="0" name="fig11_planning_range.png"/>
                    <pic:cNvPicPr/>
                  </pic:nvPicPr>
                  <pic:blipFill>
                    <a:blip r:embed="rId20"/>
                    <a:stretch>
                      <a:fillRect/>
                    </a:stretch>
                  </pic:blipFill>
                  <pic:spPr>
                    <a:xfrm>
                      <a:off x="0" y="0"/>
                      <a:ext cx="5669280" cy="3402573"/>
                    </a:xfrm>
                    <a:prstGeom prst="rect"/>
                  </pic:spPr>
                </pic:pic>
              </a:graphicData>
            </a:graphic>
          </wp:inline>
        </w:drawing>
      </w:r>
    </w:p>
    <w:p>
      <w:pPr>
        <w:spacing w:after="240"/>
        <w:jc w:val="center"/>
      </w:pPr>
      <w:r>
        <w:rPr>
          <w:rFonts w:ascii="Arial" w:hAnsi="Arial"/>
          <w:b w:val="0"/>
          <w:i/>
          <w:color w:val="5B6B7A"/>
          <w:sz w:val="17"/>
        </w:rPr>
        <w:t>Figure 11 — Planning range against speed for each capacity basis, to the reserve floor, on the measured EM2040 curve.</w:t>
      </w:r>
    </w:p>
    <w:p>
      <w:pPr>
        <w:spacing w:after="120"/>
      </w:pPr>
      <w:r>
        <w:rPr>
          <w:rFonts w:ascii="Arial" w:hAnsi="Arial"/>
          <w:b w:val="0"/>
          <w:i w:val="0"/>
          <w:sz w:val="20"/>
        </w:rPr>
        <w:t>An important interaction deserves stating. The reserve means the bottom of the gauge is almost never exercised, and short deployments return well above the floor — so refuel records cluster in the top of the range and say very little about the bottom. The band that matters for a reserve decision is precisely the one normal practice never samples.</w:t>
      </w:r>
    </w:p>
    <w:p>
      <w:pPr>
        <w:pStyle w:val="Heading2"/>
      </w:pPr>
      <w:r>
        <w:t>8.3  The leg computation</w:t>
      </w:r>
    </w:p>
    <w:p>
      <w:pPr>
        <w:spacing w:after="120"/>
      </w:pPr>
      <w:r>
        <w:rPr>
          <w:rFonts w:ascii="Arial" w:hAnsi="Arial"/>
          <w:b w:val="0"/>
          <w:i w:val="0"/>
          <w:sz w:val="20"/>
        </w:rPr>
        <w:t>The companion planning tool computes each leg of a mission through the following chain, shown here for the EM2040 fitted today:</w:t>
      </w:r>
    </w:p>
    <w:p>
      <w:pPr>
        <w:spacing w:before="80" w:after="40"/>
        <w:ind w:left="432"/>
      </w:pPr>
      <w:r>
        <w:rPr>
          <w:rFonts w:ascii="Consolas" w:hAnsi="Consolas"/>
          <w:b/>
          <w:sz w:val="19"/>
        </w:rPr>
        <w:t>RPM_benign  =  (V_required − -0.43798) / 0.00390937</w:t>
        <w:br/>
        <w:t>premium     =  p_seastate  +  A · (W / W_ref)ⁿ · cos θ</w:t>
        <w:br/>
        <w:t>RPM_actual  =  RPM_benign × (1 + premium)</w:t>
        <w:br/>
        <w:t>L/h         =  3.1135 − 0.0029201·RPM + 1.3961×10⁻⁶·RPM²</w:t>
        <w:br/>
        <w:t>litres      =  L/h × distance / V_required</w:t>
      </w:r>
    </w:p>
    <w:p>
      <w:pPr>
        <w:spacing w:after="160"/>
        <w:ind w:left="432"/>
      </w:pPr>
      <w:r>
        <w:rPr>
          <w:rFonts w:ascii="Arial" w:hAnsi="Arial"/>
          <w:i/>
          <w:color w:val="5B6B7A"/>
          <w:sz w:val="17"/>
        </w:rPr>
        <w:t>θ is the angle between leg course and the direction the wind comes FROM, so 0° is a dead headwind. A = 0.0691 from the four-heading test; W_ref = 12 kt; n = 2 by assumption.</w:t>
      </w:r>
    </w:p>
    <w:p>
      <w:pPr>
        <w:spacing w:after="120"/>
      </w:pPr>
      <w:r>
        <w:rPr>
          <w:rFonts w:ascii="Arial" w:hAnsi="Arial"/>
          <w:b w:val="0"/>
          <w:i w:val="0"/>
          <w:sz w:val="20"/>
        </w:rPr>
        <w:t>A survey is flown line by line, and its fuel is summed the same way. The heading PREMIUM still averages to zero over a reciprocal pair — which remains the guard against banking a tailwind across a whole survey — but the fuel RATE does not, because the fuel law is convex in RPM. The line into the weather costs more than the reciprocal saves, so averaging the premium and applying the law once understates survey fuel. See Appendix B.3 for the size of that error and why an odd number of lines cannot balance at all.</w:t>
      </w:r>
    </w:p>
    <w:p>
      <w:pPr>
        <w:pStyle w:val="Heading2"/>
      </w:pPr>
      <w:r>
        <w:t>8.4  Worked example</w:t>
      </w:r>
    </w:p>
    <w:p>
      <w:pPr>
        <w:spacing w:after="120"/>
      </w:pPr>
      <w:r>
        <w:rPr>
          <w:rFonts w:ascii="Arial" w:hAnsi="Arial"/>
          <w:b w:val="0"/>
          <w:i w:val="0"/>
          <w:sz w:val="20"/>
        </w:rPr>
        <w:t>A representative mission: 25 NM transit out on 090°, 120 NM of survey at 8 kt, 25 NM home on 270°, in 12 kt of wind from 270° and WMO sea state 2 (3% assumed premium), from a full tank. Figures below are produced by calling the planning engine, not by repeating its arithmetic.</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664"/>
            <w:shd w:val="clear" w:color="auto" w:fill="1F3B60"/>
          </w:tcPr>
          <w:p>
            <w:pPr>
              <w:spacing w:after="40"/>
            </w:pPr>
            <w:r/>
            <w:r>
              <w:rPr>
                <w:rFonts w:ascii="Arial" w:hAnsi="Arial"/>
                <w:b/>
                <w:color w:val="FFFFFF"/>
                <w:sz w:val="17"/>
              </w:rPr>
              <w:t>Leg</w:t>
            </w:r>
          </w:p>
        </w:tc>
        <w:tc>
          <w:tcPr>
            <w:tcW w:type="dxa" w:w="792"/>
            <w:shd w:val="clear" w:color="auto" w:fill="1F3B60"/>
          </w:tcPr>
          <w:p>
            <w:pPr>
              <w:spacing w:after="40"/>
              <w:jc w:val="right"/>
            </w:pPr>
            <w:r/>
            <w:r>
              <w:rPr>
                <w:rFonts w:ascii="Arial" w:hAnsi="Arial"/>
                <w:b/>
                <w:color w:val="FFFFFF"/>
                <w:sz w:val="17"/>
              </w:rPr>
              <w:t>NM</w:t>
            </w:r>
          </w:p>
        </w:tc>
        <w:tc>
          <w:tcPr>
            <w:tcW w:type="dxa" w:w="720"/>
            <w:shd w:val="clear" w:color="auto" w:fill="1F3B60"/>
          </w:tcPr>
          <w:p>
            <w:pPr>
              <w:spacing w:after="40"/>
              <w:jc w:val="right"/>
            </w:pPr>
            <w:r/>
            <w:r>
              <w:rPr>
                <w:rFonts w:ascii="Arial" w:hAnsi="Arial"/>
                <w:b/>
                <w:color w:val="FFFFFF"/>
                <w:sz w:val="17"/>
              </w:rPr>
              <w:t>kt</w:t>
            </w:r>
          </w:p>
        </w:tc>
        <w:tc>
          <w:tcPr>
            <w:tcW w:type="dxa" w:w="1224"/>
            <w:shd w:val="clear" w:color="auto" w:fill="1F3B60"/>
          </w:tcPr>
          <w:p>
            <w:pPr>
              <w:spacing w:after="40"/>
              <w:jc w:val="right"/>
            </w:pPr>
            <w:r/>
            <w:r>
              <w:rPr>
                <w:rFonts w:ascii="Arial" w:hAnsi="Arial"/>
                <w:b/>
                <w:color w:val="FFFFFF"/>
                <w:sz w:val="17"/>
              </w:rPr>
              <w:t>Premium</w:t>
            </w:r>
          </w:p>
        </w:tc>
        <w:tc>
          <w:tcPr>
            <w:tcW w:type="dxa" w:w="936"/>
            <w:shd w:val="clear" w:color="auto" w:fill="1F3B60"/>
          </w:tcPr>
          <w:p>
            <w:pPr>
              <w:spacing w:after="40"/>
              <w:jc w:val="right"/>
            </w:pPr>
            <w:r/>
            <w:r>
              <w:rPr>
                <w:rFonts w:ascii="Arial" w:hAnsi="Arial"/>
                <w:b/>
                <w:color w:val="FFFFFF"/>
                <w:sz w:val="17"/>
              </w:rPr>
              <w:t>RPM</w:t>
            </w:r>
          </w:p>
        </w:tc>
        <w:tc>
          <w:tcPr>
            <w:tcW w:type="dxa" w:w="864"/>
            <w:shd w:val="clear" w:color="auto" w:fill="1F3B60"/>
          </w:tcPr>
          <w:p>
            <w:pPr>
              <w:spacing w:after="40"/>
              <w:jc w:val="right"/>
            </w:pPr>
            <w:r/>
            <w:r>
              <w:rPr>
                <w:rFonts w:ascii="Arial" w:hAnsi="Arial"/>
                <w:b/>
                <w:color w:val="FFFFFF"/>
                <w:sz w:val="17"/>
              </w:rPr>
              <w:t>L/h</w:t>
            </w:r>
          </w:p>
        </w:tc>
        <w:tc>
          <w:tcPr>
            <w:tcW w:type="dxa" w:w="1008"/>
            <w:shd w:val="clear" w:color="auto" w:fill="1F3B60"/>
          </w:tcPr>
          <w:p>
            <w:pPr>
              <w:spacing w:after="40"/>
              <w:jc w:val="right"/>
            </w:pPr>
            <w:r/>
            <w:r>
              <w:rPr>
                <w:rFonts w:ascii="Arial" w:hAnsi="Arial"/>
                <w:b/>
                <w:color w:val="FFFFFF"/>
                <w:sz w:val="17"/>
              </w:rPr>
              <w:t>Hours</w:t>
            </w:r>
          </w:p>
        </w:tc>
        <w:tc>
          <w:tcPr>
            <w:tcW w:type="dxa" w:w="1008"/>
            <w:shd w:val="clear" w:color="auto" w:fill="1F3B60"/>
          </w:tcPr>
          <w:p>
            <w:pPr>
              <w:spacing w:after="40"/>
              <w:jc w:val="right"/>
            </w:pPr>
            <w:r/>
            <w:r>
              <w:rPr>
                <w:rFonts w:ascii="Arial" w:hAnsi="Arial"/>
                <w:b/>
                <w:color w:val="FFFFFF"/>
                <w:sz w:val="17"/>
              </w:rPr>
              <w:t>Litres</w:t>
            </w:r>
          </w:p>
        </w:tc>
      </w:tr>
      <w:tr>
        <w:tc>
          <w:tcPr>
            <w:tcW w:type="dxa" w:w="2664"/>
          </w:tcPr>
          <w:p>
            <w:pPr>
              <w:spacing w:after="40"/>
            </w:pPr>
            <w:r/>
            <w:r>
              <w:rPr>
                <w:rFonts w:ascii="Arial" w:hAnsi="Arial"/>
                <w:sz w:val="17"/>
              </w:rPr>
              <w:t>Transit out (090°)</w:t>
            </w:r>
          </w:p>
        </w:tc>
        <w:tc>
          <w:tcPr>
            <w:tcW w:type="dxa" w:w="792"/>
          </w:tcPr>
          <w:p>
            <w:pPr>
              <w:spacing w:after="40"/>
              <w:jc w:val="right"/>
            </w:pPr>
            <w:r/>
            <w:r>
              <w:rPr>
                <w:rFonts w:ascii="Arial" w:hAnsi="Arial"/>
                <w:sz w:val="17"/>
              </w:rPr>
              <w:t>25</w:t>
            </w:r>
          </w:p>
        </w:tc>
        <w:tc>
          <w:tcPr>
            <w:tcW w:type="dxa" w:w="720"/>
          </w:tcPr>
          <w:p>
            <w:pPr>
              <w:spacing w:after="40"/>
              <w:jc w:val="right"/>
            </w:pPr>
            <w:r/>
            <w:r>
              <w:rPr>
                <w:rFonts w:ascii="Arial" w:hAnsi="Arial"/>
                <w:sz w:val="17"/>
              </w:rPr>
              <w:t>7.0</w:t>
            </w:r>
          </w:p>
        </w:tc>
        <w:tc>
          <w:tcPr>
            <w:tcW w:type="dxa" w:w="1224"/>
          </w:tcPr>
          <w:p>
            <w:pPr>
              <w:spacing w:after="40"/>
              <w:jc w:val="right"/>
            </w:pPr>
            <w:r/>
            <w:r>
              <w:rPr>
                <w:rFonts w:ascii="Arial" w:hAnsi="Arial"/>
                <w:sz w:val="17"/>
              </w:rPr>
              <w:t>-3.9%</w:t>
            </w:r>
          </w:p>
        </w:tc>
        <w:tc>
          <w:tcPr>
            <w:tcW w:type="dxa" w:w="936"/>
          </w:tcPr>
          <w:p>
            <w:pPr>
              <w:spacing w:after="40"/>
              <w:jc w:val="right"/>
            </w:pPr>
            <w:r/>
            <w:r>
              <w:rPr>
                <w:rFonts w:ascii="Arial" w:hAnsi="Arial"/>
                <w:sz w:val="17"/>
              </w:rPr>
              <w:t>1828</w:t>
            </w:r>
          </w:p>
        </w:tc>
        <w:tc>
          <w:tcPr>
            <w:tcW w:type="dxa" w:w="864"/>
          </w:tcPr>
          <w:p>
            <w:pPr>
              <w:spacing w:after="40"/>
              <w:jc w:val="right"/>
            </w:pPr>
            <w:r/>
            <w:r>
              <w:rPr>
                <w:rFonts w:ascii="Arial" w:hAnsi="Arial"/>
                <w:sz w:val="17"/>
              </w:rPr>
              <w:t>2.44</w:t>
            </w:r>
          </w:p>
        </w:tc>
        <w:tc>
          <w:tcPr>
            <w:tcW w:type="dxa" w:w="1008"/>
          </w:tcPr>
          <w:p>
            <w:pPr>
              <w:spacing w:after="40"/>
              <w:jc w:val="right"/>
            </w:pPr>
            <w:r/>
            <w:r>
              <w:rPr>
                <w:rFonts w:ascii="Arial" w:hAnsi="Arial"/>
                <w:sz w:val="17"/>
              </w:rPr>
              <w:t>3.57</w:t>
            </w:r>
          </w:p>
        </w:tc>
        <w:tc>
          <w:tcPr>
            <w:tcW w:type="dxa" w:w="1008"/>
          </w:tcPr>
          <w:p>
            <w:pPr>
              <w:spacing w:after="40"/>
              <w:jc w:val="right"/>
            </w:pPr>
            <w:r/>
            <w:r>
              <w:rPr>
                <w:rFonts w:ascii="Arial" w:hAnsi="Arial"/>
                <w:sz w:val="17"/>
              </w:rPr>
              <w:t>8.7</w:t>
            </w:r>
          </w:p>
        </w:tc>
      </w:tr>
      <w:tr>
        <w:tc>
          <w:tcPr>
            <w:tcW w:type="dxa" w:w="2664"/>
            <w:shd w:val="clear" w:color="auto" w:fill="F2F5F8"/>
          </w:tcPr>
          <w:p>
            <w:pPr>
              <w:spacing w:after="40"/>
            </w:pPr>
            <w:r/>
            <w:r>
              <w:rPr>
                <w:rFonts w:ascii="Arial" w:hAnsi="Arial"/>
                <w:sz w:val="17"/>
              </w:rPr>
              <w:t>Survey (000°/180°)</w:t>
            </w:r>
          </w:p>
        </w:tc>
        <w:tc>
          <w:tcPr>
            <w:tcW w:type="dxa" w:w="792"/>
            <w:shd w:val="clear" w:color="auto" w:fill="F2F5F8"/>
          </w:tcPr>
          <w:p>
            <w:pPr>
              <w:spacing w:after="40"/>
              <w:jc w:val="right"/>
            </w:pPr>
            <w:r/>
            <w:r>
              <w:rPr>
                <w:rFonts w:ascii="Arial" w:hAnsi="Arial"/>
                <w:sz w:val="17"/>
              </w:rPr>
              <w:t>120</w:t>
            </w:r>
          </w:p>
        </w:tc>
        <w:tc>
          <w:tcPr>
            <w:tcW w:type="dxa" w:w="720"/>
            <w:shd w:val="clear" w:color="auto" w:fill="F2F5F8"/>
          </w:tcPr>
          <w:p>
            <w:pPr>
              <w:spacing w:after="40"/>
              <w:jc w:val="right"/>
            </w:pPr>
            <w:r/>
            <w:r>
              <w:rPr>
                <w:rFonts w:ascii="Arial" w:hAnsi="Arial"/>
                <w:sz w:val="17"/>
              </w:rPr>
              <w:t>8.0</w:t>
            </w:r>
          </w:p>
        </w:tc>
        <w:tc>
          <w:tcPr>
            <w:tcW w:type="dxa" w:w="1224"/>
            <w:shd w:val="clear" w:color="auto" w:fill="F2F5F8"/>
          </w:tcPr>
          <w:p>
            <w:pPr>
              <w:spacing w:after="40"/>
              <w:jc w:val="right"/>
            </w:pPr>
            <w:r/>
            <w:r>
              <w:rPr>
                <w:rFonts w:ascii="Arial" w:hAnsi="Arial"/>
                <w:sz w:val="17"/>
              </w:rPr>
              <w:t>+3.0%</w:t>
            </w:r>
          </w:p>
        </w:tc>
        <w:tc>
          <w:tcPr>
            <w:tcW w:type="dxa" w:w="936"/>
            <w:shd w:val="clear" w:color="auto" w:fill="F2F5F8"/>
          </w:tcPr>
          <w:p>
            <w:pPr>
              <w:spacing w:after="40"/>
              <w:jc w:val="right"/>
            </w:pPr>
            <w:r/>
            <w:r>
              <w:rPr>
                <w:rFonts w:ascii="Arial" w:hAnsi="Arial"/>
                <w:sz w:val="17"/>
              </w:rPr>
              <w:t>2223</w:t>
            </w:r>
          </w:p>
        </w:tc>
        <w:tc>
          <w:tcPr>
            <w:tcW w:type="dxa" w:w="864"/>
            <w:shd w:val="clear" w:color="auto" w:fill="F2F5F8"/>
          </w:tcPr>
          <w:p>
            <w:pPr>
              <w:spacing w:after="40"/>
              <w:jc w:val="right"/>
            </w:pPr>
            <w:r/>
            <w:r>
              <w:rPr>
                <w:rFonts w:ascii="Arial" w:hAnsi="Arial"/>
                <w:sz w:val="17"/>
              </w:rPr>
              <w:t>3.52</w:t>
            </w:r>
          </w:p>
        </w:tc>
        <w:tc>
          <w:tcPr>
            <w:tcW w:type="dxa" w:w="1008"/>
            <w:shd w:val="clear" w:color="auto" w:fill="F2F5F8"/>
          </w:tcPr>
          <w:p>
            <w:pPr>
              <w:spacing w:after="40"/>
              <w:jc w:val="right"/>
            </w:pPr>
            <w:r/>
            <w:r>
              <w:rPr>
                <w:rFonts w:ascii="Arial" w:hAnsi="Arial"/>
                <w:sz w:val="17"/>
              </w:rPr>
              <w:t>15.00</w:t>
            </w:r>
          </w:p>
        </w:tc>
        <w:tc>
          <w:tcPr>
            <w:tcW w:type="dxa" w:w="1008"/>
            <w:shd w:val="clear" w:color="auto" w:fill="F2F5F8"/>
          </w:tcPr>
          <w:p>
            <w:pPr>
              <w:spacing w:after="40"/>
              <w:jc w:val="right"/>
            </w:pPr>
            <w:r/>
            <w:r>
              <w:rPr>
                <w:rFonts w:ascii="Arial" w:hAnsi="Arial"/>
                <w:sz w:val="17"/>
              </w:rPr>
              <w:t>52.8</w:t>
            </w:r>
          </w:p>
        </w:tc>
      </w:tr>
      <w:tr>
        <w:tc>
          <w:tcPr>
            <w:tcW w:type="dxa" w:w="2664"/>
          </w:tcPr>
          <w:p>
            <w:pPr>
              <w:spacing w:after="40"/>
            </w:pPr>
            <w:r/>
            <w:r>
              <w:rPr>
                <w:rFonts w:ascii="Arial" w:hAnsi="Arial"/>
                <w:sz w:val="17"/>
              </w:rPr>
              <w:t>Transit home (270°)</w:t>
            </w:r>
          </w:p>
        </w:tc>
        <w:tc>
          <w:tcPr>
            <w:tcW w:type="dxa" w:w="792"/>
          </w:tcPr>
          <w:p>
            <w:pPr>
              <w:spacing w:after="40"/>
              <w:jc w:val="right"/>
            </w:pPr>
            <w:r/>
            <w:r>
              <w:rPr>
                <w:rFonts w:ascii="Arial" w:hAnsi="Arial"/>
                <w:sz w:val="17"/>
              </w:rPr>
              <w:t>25</w:t>
            </w:r>
          </w:p>
        </w:tc>
        <w:tc>
          <w:tcPr>
            <w:tcW w:type="dxa" w:w="720"/>
          </w:tcPr>
          <w:p>
            <w:pPr>
              <w:spacing w:after="40"/>
              <w:jc w:val="right"/>
            </w:pPr>
            <w:r/>
            <w:r>
              <w:rPr>
                <w:rFonts w:ascii="Arial" w:hAnsi="Arial"/>
                <w:sz w:val="17"/>
              </w:rPr>
              <w:t>7.0</w:t>
            </w:r>
          </w:p>
        </w:tc>
        <w:tc>
          <w:tcPr>
            <w:tcW w:type="dxa" w:w="1224"/>
          </w:tcPr>
          <w:p>
            <w:pPr>
              <w:spacing w:after="40"/>
              <w:jc w:val="right"/>
            </w:pPr>
            <w:r/>
            <w:r>
              <w:rPr>
                <w:rFonts w:ascii="Arial" w:hAnsi="Arial"/>
                <w:sz w:val="17"/>
              </w:rPr>
              <w:t>+9.9%</w:t>
            </w:r>
          </w:p>
        </w:tc>
        <w:tc>
          <w:tcPr>
            <w:tcW w:type="dxa" w:w="936"/>
          </w:tcPr>
          <w:p>
            <w:pPr>
              <w:spacing w:after="40"/>
              <w:jc w:val="right"/>
            </w:pPr>
            <w:r/>
            <w:r>
              <w:rPr>
                <w:rFonts w:ascii="Arial" w:hAnsi="Arial"/>
                <w:sz w:val="17"/>
              </w:rPr>
              <w:t>2091</w:t>
            </w:r>
          </w:p>
        </w:tc>
        <w:tc>
          <w:tcPr>
            <w:tcW w:type="dxa" w:w="864"/>
          </w:tcPr>
          <w:p>
            <w:pPr>
              <w:spacing w:after="40"/>
              <w:jc w:val="right"/>
            </w:pPr>
            <w:r/>
            <w:r>
              <w:rPr>
                <w:rFonts w:ascii="Arial" w:hAnsi="Arial"/>
                <w:sz w:val="17"/>
              </w:rPr>
              <w:t>3.11</w:t>
            </w:r>
          </w:p>
        </w:tc>
        <w:tc>
          <w:tcPr>
            <w:tcW w:type="dxa" w:w="1008"/>
          </w:tcPr>
          <w:p>
            <w:pPr>
              <w:spacing w:after="40"/>
              <w:jc w:val="right"/>
            </w:pPr>
            <w:r/>
            <w:r>
              <w:rPr>
                <w:rFonts w:ascii="Arial" w:hAnsi="Arial"/>
                <w:sz w:val="17"/>
              </w:rPr>
              <w:t>3.57</w:t>
            </w:r>
          </w:p>
        </w:tc>
        <w:tc>
          <w:tcPr>
            <w:tcW w:type="dxa" w:w="1008"/>
          </w:tcPr>
          <w:p>
            <w:pPr>
              <w:spacing w:after="40"/>
              <w:jc w:val="right"/>
            </w:pPr>
            <w:r/>
            <w:r>
              <w:rPr>
                <w:rFonts w:ascii="Arial" w:hAnsi="Arial"/>
                <w:sz w:val="17"/>
              </w:rPr>
              <w:t>11.1</w:t>
            </w:r>
          </w:p>
        </w:tc>
      </w:tr>
      <w:tr>
        <w:tc>
          <w:tcPr>
            <w:tcW w:type="dxa" w:w="2664"/>
            <w:shd w:val="clear" w:color="auto" w:fill="F2F5F8"/>
          </w:tcPr>
          <w:p>
            <w:pPr>
              <w:spacing w:after="40"/>
            </w:pPr>
            <w:r/>
            <w:r>
              <w:rPr>
                <w:rFonts w:ascii="Arial" w:hAnsi="Arial"/>
                <w:sz w:val="17"/>
              </w:rPr>
              <w:t>Total</w:t>
            </w:r>
          </w:p>
        </w:tc>
        <w:tc>
          <w:tcPr>
            <w:tcW w:type="dxa" w:w="792"/>
            <w:shd w:val="clear" w:color="auto" w:fill="F2F5F8"/>
          </w:tcPr>
          <w:p>
            <w:pPr>
              <w:spacing w:after="40"/>
              <w:jc w:val="right"/>
            </w:pPr>
            <w:r/>
            <w:r>
              <w:rPr>
                <w:rFonts w:ascii="Arial" w:hAnsi="Arial"/>
                <w:sz w:val="17"/>
              </w:rPr>
              <w:t>170</w:t>
            </w:r>
          </w:p>
        </w:tc>
        <w:tc>
          <w:tcPr>
            <w:tcW w:type="dxa" w:w="720"/>
            <w:shd w:val="clear" w:color="auto" w:fill="F2F5F8"/>
          </w:tcPr>
          <w:p>
            <w:pPr>
              <w:spacing w:after="40"/>
              <w:jc w:val="right"/>
            </w:pPr>
            <w:r/>
            <w:r>
              <w:rPr>
                <w:rFonts w:ascii="Arial" w:hAnsi="Arial"/>
                <w:sz w:val="17"/>
              </w:rPr>
              <w:t>—</w:t>
            </w:r>
          </w:p>
        </w:tc>
        <w:tc>
          <w:tcPr>
            <w:tcW w:type="dxa" w:w="1224"/>
            <w:shd w:val="clear" w:color="auto" w:fill="F2F5F8"/>
          </w:tcPr>
          <w:p>
            <w:pPr>
              <w:spacing w:after="40"/>
              <w:jc w:val="right"/>
            </w:pPr>
            <w:r/>
            <w:r>
              <w:rPr>
                <w:rFonts w:ascii="Arial" w:hAnsi="Arial"/>
                <w:sz w:val="17"/>
              </w:rPr>
              <w:t>—</w:t>
            </w:r>
          </w:p>
        </w:tc>
        <w:tc>
          <w:tcPr>
            <w:tcW w:type="dxa" w:w="936"/>
            <w:shd w:val="clear" w:color="auto" w:fill="F2F5F8"/>
          </w:tcPr>
          <w:p>
            <w:pPr>
              <w:spacing w:after="40"/>
              <w:jc w:val="right"/>
            </w:pPr>
            <w:r/>
            <w:r>
              <w:rPr>
                <w:rFonts w:ascii="Arial" w:hAnsi="Arial"/>
                <w:sz w:val="17"/>
              </w:rPr>
              <w:t>—</w:t>
            </w:r>
          </w:p>
        </w:tc>
        <w:tc>
          <w:tcPr>
            <w:tcW w:type="dxa" w:w="864"/>
            <w:shd w:val="clear" w:color="auto" w:fill="F2F5F8"/>
          </w:tcPr>
          <w:p>
            <w:pPr>
              <w:spacing w:after="40"/>
              <w:jc w:val="right"/>
            </w:pPr>
            <w:r/>
            <w:r>
              <w:rPr>
                <w:rFonts w:ascii="Arial" w:hAnsi="Arial"/>
                <w:sz w:val="17"/>
              </w:rPr>
              <w:t>—</w:t>
            </w:r>
          </w:p>
        </w:tc>
        <w:tc>
          <w:tcPr>
            <w:tcW w:type="dxa" w:w="1008"/>
            <w:shd w:val="clear" w:color="auto" w:fill="F2F5F8"/>
          </w:tcPr>
          <w:p>
            <w:pPr>
              <w:spacing w:after="40"/>
              <w:jc w:val="right"/>
            </w:pPr>
            <w:r/>
            <w:r>
              <w:rPr>
                <w:rFonts w:ascii="Arial" w:hAnsi="Arial"/>
                <w:sz w:val="17"/>
              </w:rPr>
              <w:t>22.14</w:t>
            </w:r>
          </w:p>
        </w:tc>
        <w:tc>
          <w:tcPr>
            <w:tcW w:type="dxa" w:w="1008"/>
            <w:shd w:val="clear" w:color="auto" w:fill="F2F5F8"/>
          </w:tcPr>
          <w:p>
            <w:pPr>
              <w:spacing w:after="40"/>
              <w:jc w:val="right"/>
            </w:pPr>
            <w:r/>
            <w:r>
              <w:rPr>
                <w:rFonts w:ascii="Arial" w:hAnsi="Arial"/>
                <w:sz w:val="17"/>
              </w:rPr>
              <w:t>72.7</w:t>
            </w:r>
          </w:p>
        </w:tc>
      </w:tr>
    </w:tbl>
    <w:p>
      <w:pPr>
        <w:spacing w:after="200"/>
      </w:pPr>
      <w:r>
        <w:rPr>
          <w:rFonts w:ascii="Arial" w:hAnsi="Arial"/>
          <w:b w:val="0"/>
          <w:i/>
          <w:color w:val="5B6B7A"/>
          <w:sz w:val="16"/>
        </w:rPr>
        <w:t>Table 16 — Worked mission on the EM2040 curve. The out and home legs differ on identical distance and speed — that is the wind, and it is the asymmetry a single average would hide.</w:t>
      </w:r>
    </w:p>
    <w:p>
      <w:pPr>
        <w:spacing w:after="120"/>
      </w:pPr>
      <w:r>
        <w:rPr>
          <w:rFonts w:ascii="Arial" w:hAnsi="Arial"/>
          <w:b w:val="0"/>
          <w:i w:val="0"/>
          <w:sz w:val="20"/>
        </w:rPr>
        <w:t>The mission burns 72.7 L. Against the measured gauge scale it may spend 185.7 L before the needle reaches the floor, so it returns with 113.1 L in hand and the gauge reading 69.0%. On the nominal 250 L basis the same mission appears to return at 70.9% indicated with 114.8 L of margin — the gap between those two readings is the gap between the two readings of §6.5, not an error in either.</w:t>
      </w:r>
    </w:p>
    <w:p>
      <w:pPr>
        <w:spacing w:after="120"/>
      </w:pPr>
      <w:r>
        <w:rPr>
          <w:rFonts w:ascii="Arial" w:hAnsi="Arial"/>
          <w:b w:val="0"/>
          <w:i w:val="0"/>
          <w:sz w:val="20"/>
        </w:rPr>
        <w:t>The same mission on the EM712 gondola costs 102.5 L against 72.7 L — the gondola swap of §5.5 made concrete on a single modest mission, and with extrapolation flags on Survey (000°/180°).</w:t>
      </w:r>
    </w:p>
    <w:p>
      <w:pPr>
        <w:pStyle w:val="Heading2"/>
      </w:pPr>
      <w:r>
        <w:t>8.5  The tide as a planning input</w:t>
      </w:r>
    </w:p>
    <w:p>
      <w:pPr>
        <w:spacing w:after="120"/>
      </w:pPr>
      <w:r>
        <w:rPr>
          <w:rFonts w:ascii="Arial" w:hAnsi="Arial"/>
          <w:b w:val="0"/>
          <w:i w:val="0"/>
          <w:sz w:val="20"/>
        </w:rPr>
        <w:t>Since 2026-08-13 the per-leg current need not be typed from a tide table: it can be read off the NOAA Delaware Bay operational forecast, sampled along each leg at the time the vehicle would be there. This changes no coefficient in this report. It supplies two inputs the framework above already had — a leg's current speed and set — so the arithmetic is identical to an operator entering them by hand, and a plan made without pressing the button is unaffected.</w:t>
      </w:r>
    </w:p>
    <w:p>
      <w:pPr>
        <w:spacing w:after="120"/>
      </w:pPr>
      <w:r>
        <w:rPr>
          <w:rFonts w:ascii="Arial" w:hAnsi="Arial"/>
          <w:b w:val="0"/>
          <w:i w:val="0"/>
          <w:sz w:val="20"/>
        </w:rPr>
        <w:t>What it is worth is worth stating, because it is larger than most of the sensitivities in §7. On a real mission out of the operating base — twelve miles out, a 12 × 2 NM survey, twelve miles home, departing at midday — the tide costs 5.2% of mission fuel against planning it as slack water. Sampling the forecast along the track instead of once per leg gives 2.7%, roughly half: a survey holds one ground for hours while the tide turns under it, and a single vector average of a reversing current overstates what the hull actually fights. The mission clock is identical in both cases, which follows from §8.3 — a current moves the fuel and never the time.</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Two cautions that belong with the number</w:t>
            </w:r>
          </w:p>
          <w:p>
            <w:pPr>
              <w:spacing w:after="40"/>
            </w:pPr>
            <w:r>
              <w:rPr>
                <w:rFonts w:ascii="Arial" w:hAnsi="Arial"/>
                <w:sz w:val="18"/>
              </w:rPr>
              <w:t>It is partly counted twice. The speed law in §3 is fitted against speed over ground in an unrecorded tide, so some tidal effect is already inside the coefficients; applying a forecast current on top counts part of it again. The honest use is comparing two plans, or pricing today's tide — not treating the result as a calibrated tidal correction. Removing the overlap needs the same reciprocal-heading runs §5.2 and the register already ask for. And a forecast is a model, not a measurement: where it cannot reach a requested time the planner estimates by borrowing across whole tidal cycles, which it marks as an estimate everywhere it appears rather than presenting it as forecast.</w:t>
            </w:r>
          </w:p>
        </w:tc>
      </w:tr>
    </w:tbl>
    <w:p>
      <w:pPr>
        <w:spacing w:after="120"/>
      </w:pPr>
    </w:p>
    <w:p>
      <w:pPr>
        <w:spacing w:after="120"/>
      </w:pPr>
      <w:r>
        <w:rPr>
          <w:rFonts w:ascii="Arial" w:hAnsi="Arial"/>
          <w:b w:val="0"/>
          <w:i w:val="0"/>
          <w:sz w:val="20"/>
        </w:rPr>
        <w:t>One consequence for reading this report against the tool. Where a survey is given real geometry, the planner now also charges the TURNS between lines, from an assumed turn model. The tables in this report describe surveys as line count and line length without geometry, so they carry no turn cost and are unchanged by it; a geometry-based plan in the tool will therefore read slightly higher for the same survey. That is the tool being more complete, not a disagreement.</w:t>
      </w:r>
    </w:p>
    <w:p>
      <w:pPr>
        <w:pStyle w:val="Heading2"/>
      </w:pPr>
      <w:r>
        <w:t>8.6  The tool</w:t>
      </w:r>
    </w:p>
    <w:p>
      <w:pPr>
        <w:spacing w:after="120"/>
      </w:pPr>
      <w:r>
        <w:rPr>
          <w:rFonts w:ascii="Arial" w:hAnsi="Arial"/>
          <w:b w:val="0"/>
          <w:i w:val="0"/>
          <w:sz w:val="20"/>
        </w:rPr>
        <w:t>The framework above is implemented as a Python engine with a browser interface at D:\Claude\Fuel, covered by a unit-test suite whose mutation guards fail if a coefficient changes unnoticed. Three rails are built in deliberately: any leg outside the fitted RPM window for its gondola is flagged as an extrapolation; every result carries a sensitivity band across premium and capacity; and every result reports what the NEEDLE will read alongside the capacity-based figure, with the headline verdict following whichever floor binds first. All coefficients live in one model file, each tagged fitted or assumed.</w:t>
      </w:r>
    </w:p>
    <w:p>
      <w:pPr>
        <w:pStyle w:val="Heading1"/>
      </w:pPr>
      <w:r>
        <w:t>9.  Data quality register</w:t>
      </w:r>
    </w:p>
    <w:p>
      <w:pPr>
        <w:spacing w:after="120"/>
      </w:pPr>
      <w:r>
        <w:rPr>
          <w:rFonts w:ascii="Arial" w:hAnsi="Arial"/>
          <w:b w:val="0"/>
          <w:i w:val="0"/>
          <w:sz w:val="20"/>
        </w:rPr>
        <w:t>Every item below is a property of the source material rather than of the analysis. Each is either worked around or excluded, as noted.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504"/>
            <w:shd w:val="clear" w:color="auto" w:fill="1F3B60"/>
          </w:tcPr>
          <w:p>
            <w:pPr>
              <w:spacing w:after="40"/>
            </w:pPr>
            <w:r/>
            <w:r>
              <w:rPr>
                <w:rFonts w:ascii="Arial" w:hAnsi="Arial"/>
                <w:b/>
                <w:color w:val="FFFFFF"/>
                <w:sz w:val="17"/>
              </w:rPr>
              <w:t>#</w:t>
            </w:r>
          </w:p>
        </w:tc>
        <w:tc>
          <w:tcPr>
            <w:tcW w:type="dxa" w:w="1800"/>
            <w:shd w:val="clear" w:color="auto" w:fill="1F3B60"/>
          </w:tcPr>
          <w:p>
            <w:pPr>
              <w:spacing w:after="40"/>
            </w:pPr>
            <w:r/>
            <w:r>
              <w:rPr>
                <w:rFonts w:ascii="Arial" w:hAnsi="Arial"/>
                <w:b/>
                <w:color w:val="FFFFFF"/>
                <w:sz w:val="17"/>
              </w:rPr>
              <w:t>Source</w:t>
            </w:r>
          </w:p>
        </w:tc>
        <w:tc>
          <w:tcPr>
            <w:tcW w:type="dxa" w:w="3312"/>
            <w:shd w:val="clear" w:color="auto" w:fill="1F3B60"/>
          </w:tcPr>
          <w:p>
            <w:pPr>
              <w:spacing w:after="40"/>
            </w:pPr>
            <w:r/>
            <w:r>
              <w:rPr>
                <w:rFonts w:ascii="Arial" w:hAnsi="Arial"/>
                <w:b/>
                <w:color w:val="FFFFFF"/>
                <w:sz w:val="17"/>
              </w:rPr>
              <w:t>Issue</w:t>
            </w:r>
          </w:p>
        </w:tc>
        <w:tc>
          <w:tcPr>
            <w:tcW w:type="dxa" w:w="3744"/>
            <w:shd w:val="clear" w:color="auto" w:fill="1F3B60"/>
          </w:tcPr>
          <w:p>
            <w:pPr>
              <w:spacing w:after="40"/>
            </w:pPr>
            <w:r/>
            <w:r>
              <w:rPr>
                <w:rFonts w:ascii="Arial" w:hAnsi="Arial"/>
                <w:b/>
                <w:color w:val="FFFFFF"/>
                <w:sz w:val="17"/>
              </w:rPr>
              <w:t>Handling</w:t>
            </w:r>
          </w:p>
        </w:tc>
      </w:tr>
      <w:tr>
        <w:tc>
          <w:tcPr>
            <w:tcW w:type="dxa" w:w="504"/>
          </w:tcPr>
          <w:p>
            <w:pPr>
              <w:spacing w:after="40"/>
            </w:pPr>
            <w:r/>
            <w:r>
              <w:rPr>
                <w:rFonts w:ascii="Arial" w:hAnsi="Arial"/>
                <w:sz w:val="17"/>
              </w:rPr>
              <w:t>1</w:t>
            </w:r>
          </w:p>
        </w:tc>
        <w:tc>
          <w:tcPr>
            <w:tcW w:type="dxa" w:w="1800"/>
          </w:tcPr>
          <w:p>
            <w:pPr>
              <w:spacing w:after="40"/>
            </w:pPr>
            <w:r/>
            <w:r>
              <w:rPr>
                <w:rFonts w:ascii="Arial" w:hAnsi="Arial"/>
                <w:sz w:val="17"/>
              </w:rPr>
              <w:t>2024 trials</w:t>
            </w:r>
          </w:p>
        </w:tc>
        <w:tc>
          <w:tcPr>
            <w:tcW w:type="dxa" w:w="3312"/>
          </w:tcPr>
          <w:p>
            <w:pPr>
              <w:spacing w:after="40"/>
            </w:pPr>
            <w:r/>
            <w:r>
              <w:rPr>
                <w:rFonts w:ascii="Arial" w:hAnsi="Arial"/>
                <w:sz w:val="17"/>
              </w:rPr>
              <w:t>2750 and 3000 rpm runs report less fuel than the 2500 rpm run</w:t>
            </w:r>
          </w:p>
        </w:tc>
        <w:tc>
          <w:tcPr>
            <w:tcW w:type="dxa" w:w="3744"/>
          </w:tcPr>
          <w:p>
            <w:pPr>
              <w:spacing w:after="40"/>
            </w:pPr>
            <w:r/>
            <w:r>
              <w:rPr>
                <w:rFonts w:ascii="Arial" w:hAnsi="Arial"/>
                <w:sz w:val="17"/>
              </w:rPr>
              <w:t>Excluded from all fits; kept visible. Log records increasing chop from that run on</w:t>
            </w:r>
          </w:p>
        </w:tc>
      </w:tr>
      <w:tr>
        <w:tc>
          <w:tcPr>
            <w:tcW w:type="dxa" w:w="504"/>
            <w:shd w:val="clear" w:color="auto" w:fill="F2F5F8"/>
          </w:tcPr>
          <w:p>
            <w:pPr>
              <w:spacing w:after="40"/>
            </w:pPr>
            <w:r/>
            <w:r>
              <w:rPr>
                <w:rFonts w:ascii="Arial" w:hAnsi="Arial"/>
                <w:sz w:val="17"/>
              </w:rPr>
              <w:t>2</w:t>
            </w:r>
          </w:p>
        </w:tc>
        <w:tc>
          <w:tcPr>
            <w:tcW w:type="dxa" w:w="1800"/>
            <w:shd w:val="clear" w:color="auto" w:fill="F2F5F8"/>
          </w:tcPr>
          <w:p>
            <w:pPr>
              <w:spacing w:after="40"/>
            </w:pPr>
            <w:r/>
            <w:r>
              <w:rPr>
                <w:rFonts w:ascii="Arial" w:hAnsi="Arial"/>
                <w:sz w:val="17"/>
              </w:rPr>
              <w:t>2024 trials</w:t>
            </w:r>
          </w:p>
        </w:tc>
        <w:tc>
          <w:tcPr>
            <w:tcW w:type="dxa" w:w="3312"/>
            <w:shd w:val="clear" w:color="auto" w:fill="F2F5F8"/>
          </w:tcPr>
          <w:p>
            <w:pPr>
              <w:spacing w:after="40"/>
            </w:pPr>
            <w:r/>
            <w:r>
              <w:rPr>
                <w:rFonts w:ascii="Arial" w:hAnsi="Arial"/>
                <w:sz w:val="17"/>
              </w:rPr>
              <w:t>RPM blank for the 2750 run</w:t>
            </w:r>
          </w:p>
        </w:tc>
        <w:tc>
          <w:tcPr>
            <w:tcW w:type="dxa" w:w="3744"/>
            <w:shd w:val="clear" w:color="auto" w:fill="F2F5F8"/>
          </w:tcPr>
          <w:p>
            <w:pPr>
              <w:spacing w:after="40"/>
            </w:pPr>
            <w:r/>
            <w:r>
              <w:rPr>
                <w:rFonts w:ascii="Arial" w:hAnsi="Arial"/>
                <w:sz w:val="17"/>
              </w:rPr>
              <w:t>Recovered from the raw-file path in the same row</w:t>
            </w:r>
          </w:p>
        </w:tc>
      </w:tr>
      <w:tr>
        <w:tc>
          <w:tcPr>
            <w:tcW w:type="dxa" w:w="504"/>
          </w:tcPr>
          <w:p>
            <w:pPr>
              <w:spacing w:after="40"/>
            </w:pPr>
            <w:r/>
            <w:r>
              <w:rPr>
                <w:rFonts w:ascii="Arial" w:hAnsi="Arial"/>
                <w:sz w:val="17"/>
              </w:rPr>
              <w:t>3</w:t>
            </w:r>
          </w:p>
        </w:tc>
        <w:tc>
          <w:tcPr>
            <w:tcW w:type="dxa" w:w="1800"/>
          </w:tcPr>
          <w:p>
            <w:pPr>
              <w:spacing w:after="40"/>
            </w:pPr>
            <w:r/>
            <w:r>
              <w:rPr>
                <w:rFonts w:ascii="Arial" w:hAnsi="Arial"/>
                <w:sz w:val="17"/>
              </w:rPr>
              <w:t>2024 trials</w:t>
            </w:r>
          </w:p>
        </w:tc>
        <w:tc>
          <w:tcPr>
            <w:tcW w:type="dxa" w:w="3312"/>
          </w:tcPr>
          <w:p>
            <w:pPr>
              <w:spacing w:after="40"/>
            </w:pPr>
            <w:r/>
            <w:r>
              <w:rPr>
                <w:rFonts w:ascii="Arial" w:hAnsi="Arial"/>
                <w:sz w:val="17"/>
              </w:rPr>
              <w:t>Every step is a single heading, so current is folded in</w:t>
            </w:r>
          </w:p>
        </w:tc>
        <w:tc>
          <w:tcPr>
            <w:tcW w:type="dxa" w:w="3744"/>
          </w:tcPr>
          <w:p>
            <w:pPr>
              <w:spacing w:after="40"/>
            </w:pPr>
            <w:r/>
            <w:r>
              <w:rPr>
                <w:rFonts w:ascii="Arial" w:hAnsi="Arial"/>
                <w:sz w:val="17"/>
              </w:rPr>
              <w:t>Largest single error source in the 2024 curve. Quantified at ±7% by the four-heading test</w:t>
            </w:r>
          </w:p>
        </w:tc>
      </w:tr>
      <w:tr>
        <w:tc>
          <w:tcPr>
            <w:tcW w:type="dxa" w:w="504"/>
            <w:shd w:val="clear" w:color="auto" w:fill="F2F5F8"/>
          </w:tcPr>
          <w:p>
            <w:pPr>
              <w:spacing w:after="40"/>
            </w:pPr>
            <w:r/>
            <w:r>
              <w:rPr>
                <w:rFonts w:ascii="Arial" w:hAnsi="Arial"/>
                <w:sz w:val="17"/>
              </w:rPr>
              <w:t>4</w:t>
            </w:r>
          </w:p>
        </w:tc>
        <w:tc>
          <w:tcPr>
            <w:tcW w:type="dxa" w:w="1800"/>
            <w:shd w:val="clear" w:color="auto" w:fill="F2F5F8"/>
          </w:tcPr>
          <w:p>
            <w:pPr>
              <w:spacing w:after="40"/>
            </w:pPr>
            <w:r/>
            <w:r>
              <w:rPr>
                <w:rFonts w:ascii="Arial" w:hAnsi="Arial"/>
                <w:sz w:val="17"/>
              </w:rPr>
              <w:t>2022 ops log</w:t>
            </w:r>
          </w:p>
        </w:tc>
        <w:tc>
          <w:tcPr>
            <w:tcW w:type="dxa" w:w="3312"/>
            <w:shd w:val="clear" w:color="auto" w:fill="F2F5F8"/>
          </w:tcPr>
          <w:p>
            <w:pPr>
              <w:spacing w:after="40"/>
            </w:pPr>
            <w:r/>
            <w:r>
              <w:rPr>
                <w:rFonts w:ascii="Arial" w:hAnsi="Arial"/>
                <w:sz w:val="17"/>
              </w:rPr>
              <w:t>Rows in document order, not time order</w:t>
            </w:r>
          </w:p>
        </w:tc>
        <w:tc>
          <w:tcPr>
            <w:tcW w:type="dxa" w:w="3744"/>
            <w:shd w:val="clear" w:color="auto" w:fill="F2F5F8"/>
          </w:tcPr>
          <w:p>
            <w:pPr>
              <w:spacing w:after="40"/>
            </w:pPr>
            <w:r/>
            <w:r>
              <w:rPr>
                <w:rFonts w:ascii="Arial" w:hAnsi="Arial"/>
                <w:sz w:val="17"/>
              </w:rPr>
              <w:t>Re-sorted by timestamp; left alone the interval rates would be nonsense</w:t>
            </w:r>
          </w:p>
        </w:tc>
      </w:tr>
      <w:tr>
        <w:tc>
          <w:tcPr>
            <w:tcW w:type="dxa" w:w="504"/>
          </w:tcPr>
          <w:p>
            <w:pPr>
              <w:spacing w:after="40"/>
            </w:pPr>
            <w:r/>
            <w:r>
              <w:rPr>
                <w:rFonts w:ascii="Arial" w:hAnsi="Arial"/>
                <w:sz w:val="17"/>
              </w:rPr>
              <w:t>5</w:t>
            </w:r>
          </w:p>
        </w:tc>
        <w:tc>
          <w:tcPr>
            <w:tcW w:type="dxa" w:w="1800"/>
          </w:tcPr>
          <w:p>
            <w:pPr>
              <w:spacing w:after="40"/>
            </w:pPr>
            <w:r/>
            <w:r>
              <w:rPr>
                <w:rFonts w:ascii="Arial" w:hAnsi="Arial"/>
                <w:sz w:val="17"/>
              </w:rPr>
              <w:t>2022 ops log</w:t>
            </w:r>
          </w:p>
        </w:tc>
        <w:tc>
          <w:tcPr>
            <w:tcW w:type="dxa" w:w="3312"/>
          </w:tcPr>
          <w:p>
            <w:pPr>
              <w:spacing w:after="40"/>
            </w:pPr>
            <w:r/>
            <w:r>
              <w:rPr>
                <w:rFonts w:ascii="Arial" w:hAnsi="Arial"/>
                <w:sz w:val="17"/>
              </w:rPr>
              <w:t>Level quantised to whole percent against ~1.7 %/h</w:t>
            </w:r>
          </w:p>
        </w:tc>
        <w:tc>
          <w:tcPr>
            <w:tcW w:type="dxa" w:w="3744"/>
          </w:tcPr>
          <w:p>
            <w:pPr>
              <w:spacing w:after="40"/>
            </w:pPr>
            <w:r/>
            <w:r>
              <w:rPr>
                <w:rFonts w:ascii="Arial" w:hAnsi="Arial"/>
                <w:sz w:val="17"/>
              </w:rPr>
              <w:t>Only whole-window figures carried forward</w:t>
            </w:r>
          </w:p>
        </w:tc>
      </w:tr>
      <w:tr>
        <w:tc>
          <w:tcPr>
            <w:tcW w:type="dxa" w:w="504"/>
            <w:shd w:val="clear" w:color="auto" w:fill="F2F5F8"/>
          </w:tcPr>
          <w:p>
            <w:pPr>
              <w:spacing w:after="40"/>
            </w:pPr>
            <w:r/>
            <w:r>
              <w:rPr>
                <w:rFonts w:ascii="Arial" w:hAnsi="Arial"/>
                <w:sz w:val="17"/>
              </w:rPr>
              <w:t>6</w:t>
            </w:r>
          </w:p>
        </w:tc>
        <w:tc>
          <w:tcPr>
            <w:tcW w:type="dxa" w:w="1800"/>
            <w:shd w:val="clear" w:color="auto" w:fill="F2F5F8"/>
          </w:tcPr>
          <w:p>
            <w:pPr>
              <w:spacing w:after="40"/>
            </w:pPr>
            <w:r/>
            <w:r>
              <w:rPr>
                <w:rFonts w:ascii="Arial" w:hAnsi="Arial"/>
                <w:sz w:val="17"/>
              </w:rPr>
              <w:t>2022 ops log</w:t>
            </w:r>
          </w:p>
        </w:tc>
        <w:tc>
          <w:tcPr>
            <w:tcW w:type="dxa" w:w="3312"/>
            <w:shd w:val="clear" w:color="auto" w:fill="F2F5F8"/>
          </w:tcPr>
          <w:p>
            <w:pPr>
              <w:spacing w:after="40"/>
            </w:pPr>
            <w:r/>
            <w:r>
              <w:rPr>
                <w:rFonts w:ascii="Arial" w:hAnsi="Arial"/>
                <w:sz w:val="17"/>
              </w:rPr>
              <w:t>First interval is a 3.3× outlier at the top of the gauge</w:t>
            </w:r>
          </w:p>
        </w:tc>
        <w:tc>
          <w:tcPr>
            <w:tcW w:type="dxa" w:w="3744"/>
            <w:shd w:val="clear" w:color="auto" w:fill="F2F5F8"/>
          </w:tcPr>
          <w:p>
            <w:pPr>
              <w:spacing w:after="40"/>
            </w:pPr>
            <w:r/>
            <w:r>
              <w:rPr>
                <w:rFonts w:ascii="Arial" w:hAnsi="Arial"/>
                <w:sz w:val="17"/>
              </w:rPr>
              <w:t>Both windows carried side by side; it changes implied capacity from 173 L to 205 L</w:t>
            </w:r>
          </w:p>
        </w:tc>
      </w:tr>
      <w:tr>
        <w:tc>
          <w:tcPr>
            <w:tcW w:type="dxa" w:w="504"/>
          </w:tcPr>
          <w:p>
            <w:pPr>
              <w:spacing w:after="40"/>
            </w:pPr>
            <w:r/>
            <w:r>
              <w:rPr>
                <w:rFonts w:ascii="Arial" w:hAnsi="Arial"/>
                <w:sz w:val="17"/>
              </w:rPr>
              <w:t>7</w:t>
            </w:r>
          </w:p>
        </w:tc>
        <w:tc>
          <w:tcPr>
            <w:tcW w:type="dxa" w:w="1800"/>
          </w:tcPr>
          <w:p>
            <w:pPr>
              <w:spacing w:after="40"/>
            </w:pPr>
            <w:r/>
            <w:r>
              <w:rPr>
                <w:rFonts w:ascii="Arial" w:hAnsi="Arial"/>
                <w:sz w:val="17"/>
              </w:rPr>
              <w:t>2022 ops log</w:t>
            </w:r>
          </w:p>
        </w:tc>
        <w:tc>
          <w:tcPr>
            <w:tcW w:type="dxa" w:w="3312"/>
          </w:tcPr>
          <w:p>
            <w:pPr>
              <w:spacing w:after="40"/>
            </w:pPr>
            <w:r/>
            <w:r>
              <w:rPr>
                <w:rFonts w:ascii="Arial" w:hAnsi="Arial"/>
                <w:sz w:val="17"/>
              </w:rPr>
              <w:t>Per-observation rows are not held in this repository</w:t>
            </w:r>
          </w:p>
        </w:tc>
        <w:tc>
          <w:tcPr>
            <w:tcW w:type="dxa" w:w="3744"/>
          </w:tcPr>
          <w:p>
            <w:pPr>
              <w:spacing w:after="40"/>
            </w:pPr>
            <w:r/>
            <w:r>
              <w:rPr>
                <w:rFonts w:ascii="Arial" w:hAnsi="Arial"/>
                <w:sz w:val="17"/>
              </w:rPr>
              <w:t>The §6–§7 aggregates and Figure 8 are carried as constants and a static asset; this is the report's one remaining drift risk</w:t>
            </w:r>
          </w:p>
        </w:tc>
      </w:tr>
      <w:tr>
        <w:tc>
          <w:tcPr>
            <w:tcW w:type="dxa" w:w="504"/>
            <w:shd w:val="clear" w:color="auto" w:fill="F2F5F8"/>
          </w:tcPr>
          <w:p>
            <w:pPr>
              <w:spacing w:after="40"/>
            </w:pPr>
            <w:r/>
            <w:r>
              <w:rPr>
                <w:rFonts w:ascii="Arial" w:hAnsi="Arial"/>
                <w:sz w:val="17"/>
              </w:rPr>
              <w:t>8</w:t>
            </w:r>
          </w:p>
        </w:tc>
        <w:tc>
          <w:tcPr>
            <w:tcW w:type="dxa" w:w="1800"/>
            <w:shd w:val="clear" w:color="auto" w:fill="F2F5F8"/>
          </w:tcPr>
          <w:p>
            <w:pPr>
              <w:spacing w:after="40"/>
            </w:pPr>
            <w:r/>
            <w:r>
              <w:rPr>
                <w:rFonts w:ascii="Arial" w:hAnsi="Arial"/>
                <w:sz w:val="17"/>
              </w:rPr>
              <w:t>2022 shakedown</w:t>
            </w:r>
          </w:p>
        </w:tc>
        <w:tc>
          <w:tcPr>
            <w:tcW w:type="dxa" w:w="3312"/>
            <w:shd w:val="clear" w:color="auto" w:fill="F2F5F8"/>
          </w:tcPr>
          <w:p>
            <w:pPr>
              <w:spacing w:after="40"/>
            </w:pPr>
            <w:r/>
            <w:r>
              <w:rPr>
                <w:rFonts w:ascii="Arial" w:hAnsi="Arial"/>
                <w:sz w:val="17"/>
              </w:rPr>
              <w:t>No fuel rate, no heading, no sea state recorded</w:t>
            </w:r>
          </w:p>
        </w:tc>
        <w:tc>
          <w:tcPr>
            <w:tcW w:type="dxa" w:w="3744"/>
            <w:shd w:val="clear" w:color="auto" w:fill="F2F5F8"/>
          </w:tcPr>
          <w:p>
            <w:pPr>
              <w:spacing w:after="40"/>
            </w:pPr>
            <w:r/>
            <w:r>
              <w:rPr>
                <w:rFonts w:ascii="Arial" w:hAnsi="Arial"/>
                <w:sz w:val="17"/>
              </w:rPr>
              <w:t>Used only for speed at RPM; all 2022 efficiency bridged through the 2024 model</w:t>
            </w:r>
          </w:p>
        </w:tc>
      </w:tr>
      <w:tr>
        <w:tc>
          <w:tcPr>
            <w:tcW w:type="dxa" w:w="504"/>
          </w:tcPr>
          <w:p>
            <w:pPr>
              <w:spacing w:after="40"/>
            </w:pPr>
            <w:r/>
            <w:r>
              <w:rPr>
                <w:rFonts w:ascii="Arial" w:hAnsi="Arial"/>
                <w:sz w:val="17"/>
              </w:rPr>
              <w:t>9</w:t>
            </w:r>
          </w:p>
        </w:tc>
        <w:tc>
          <w:tcPr>
            <w:tcW w:type="dxa" w:w="1800"/>
          </w:tcPr>
          <w:p>
            <w:pPr>
              <w:spacing w:after="40"/>
            </w:pPr>
            <w:r/>
            <w:r>
              <w:rPr>
                <w:rFonts w:ascii="Arial" w:hAnsi="Arial"/>
                <w:sz w:val="17"/>
              </w:rPr>
              <w:t>DD2024</w:t>
            </w:r>
          </w:p>
        </w:tc>
        <w:tc>
          <w:tcPr>
            <w:tcW w:type="dxa" w:w="3312"/>
          </w:tcPr>
          <w:p>
            <w:pPr>
              <w:spacing w:after="40"/>
            </w:pPr>
            <w:r/>
            <w:r>
              <w:rPr>
                <w:rFonts w:ascii="Arial" w:hAnsi="Arial"/>
                <w:sz w:val="17"/>
              </w:rPr>
              <w:t>The 185 L may span more than one fuelling</w:t>
            </w:r>
          </w:p>
        </w:tc>
        <w:tc>
          <w:tcPr>
            <w:tcW w:type="dxa" w:w="3744"/>
          </w:tcPr>
          <w:p>
            <w:pPr>
              <w:spacing w:after="40"/>
            </w:pPr>
            <w:r/>
            <w:r>
              <w:rPr>
                <w:rFonts w:ascii="Arial" w:hAnsi="Arial"/>
                <w:sz w:val="17"/>
              </w:rPr>
              <w:t>Capacity shown as a range, 203–215 L</w:t>
            </w:r>
          </w:p>
        </w:tc>
      </w:tr>
      <w:tr>
        <w:tc>
          <w:tcPr>
            <w:tcW w:type="dxa" w:w="504"/>
            <w:shd w:val="clear" w:color="auto" w:fill="F2F5F8"/>
          </w:tcPr>
          <w:p>
            <w:pPr>
              <w:spacing w:after="40"/>
            </w:pPr>
            <w:r/>
            <w:r>
              <w:rPr>
                <w:rFonts w:ascii="Arial" w:hAnsi="Arial"/>
                <w:sz w:val="17"/>
              </w:rPr>
              <w:t>10</w:t>
            </w:r>
          </w:p>
        </w:tc>
        <w:tc>
          <w:tcPr>
            <w:tcW w:type="dxa" w:w="1800"/>
            <w:shd w:val="clear" w:color="auto" w:fill="F2F5F8"/>
          </w:tcPr>
          <w:p>
            <w:pPr>
              <w:spacing w:after="40"/>
            </w:pPr>
            <w:r/>
            <w:r>
              <w:rPr>
                <w:rFonts w:ascii="Arial" w:hAnsi="Arial"/>
                <w:sz w:val="17"/>
              </w:rPr>
              <w:t>MCAP 2026</w:t>
            </w:r>
          </w:p>
        </w:tc>
        <w:tc>
          <w:tcPr>
            <w:tcW w:type="dxa" w:w="3312"/>
            <w:shd w:val="clear" w:color="auto" w:fill="F2F5F8"/>
          </w:tcPr>
          <w:p>
            <w:pPr>
              <w:spacing w:after="40"/>
            </w:pPr>
            <w:r/>
            <w:r>
              <w:rPr>
                <w:rFonts w:ascii="Arial" w:hAnsi="Arial"/>
                <w:sz w:val="17"/>
              </w:rPr>
              <w:t>Shaft-RPM sensor faulted across all days</w:t>
            </w:r>
          </w:p>
        </w:tc>
        <w:tc>
          <w:tcPr>
            <w:tcW w:type="dxa" w:w="3744"/>
            <w:shd w:val="clear" w:color="auto" w:fill="F2F5F8"/>
          </w:tcPr>
          <w:p>
            <w:pPr>
              <w:spacing w:after="40"/>
            </w:pPr>
            <w:r/>
            <w:r>
              <w:rPr>
                <w:rFonts w:ascii="Arial" w:hAnsi="Arial"/>
                <w:sz w:val="17"/>
              </w:rPr>
              <w:t>PLC thruster_rpm channel used throughout; direct drive makes them equal</w:t>
            </w:r>
          </w:p>
        </w:tc>
      </w:tr>
      <w:tr>
        <w:tc>
          <w:tcPr>
            <w:tcW w:type="dxa" w:w="504"/>
          </w:tcPr>
          <w:p>
            <w:pPr>
              <w:spacing w:after="40"/>
            </w:pPr>
            <w:r/>
            <w:r>
              <w:rPr>
                <w:rFonts w:ascii="Arial" w:hAnsi="Arial"/>
                <w:sz w:val="17"/>
              </w:rPr>
              <w:t>11</w:t>
            </w:r>
          </w:p>
        </w:tc>
        <w:tc>
          <w:tcPr>
            <w:tcW w:type="dxa" w:w="1800"/>
          </w:tcPr>
          <w:p>
            <w:pPr>
              <w:spacing w:after="40"/>
            </w:pPr>
            <w:r/>
            <w:r>
              <w:rPr>
                <w:rFonts w:ascii="Arial" w:hAnsi="Arial"/>
                <w:sz w:val="17"/>
              </w:rPr>
              <w:t>MCAP 2026</w:t>
            </w:r>
          </w:p>
        </w:tc>
        <w:tc>
          <w:tcPr>
            <w:tcW w:type="dxa" w:w="3312"/>
          </w:tcPr>
          <w:p>
            <w:pPr>
              <w:spacing w:after="40"/>
            </w:pPr>
            <w:r/>
            <w:r>
              <w:rPr>
                <w:rFonts w:ascii="Arial" w:hAnsi="Arial"/>
                <w:sz w:val="17"/>
              </w:rPr>
              <w:t>Speed law is SOG-based, so tide is folded in</w:t>
            </w:r>
          </w:p>
        </w:tc>
        <w:tc>
          <w:tcPr>
            <w:tcW w:type="dxa" w:w="3744"/>
          </w:tcPr>
          <w:p>
            <w:pPr>
              <w:spacing w:after="40"/>
            </w:pPr>
            <w:r/>
            <w:r>
              <w:rPr>
                <w:rFonts w:ascii="Arial" w:hAnsi="Arial"/>
                <w:sz w:val="17"/>
              </w:rPr>
              <w:t>Carries ±5% tidal uncertainty; reciprocal-heading runs would strip it out</w:t>
            </w:r>
          </w:p>
        </w:tc>
      </w:tr>
      <w:tr>
        <w:tc>
          <w:tcPr>
            <w:tcW w:type="dxa" w:w="504"/>
            <w:shd w:val="clear" w:color="auto" w:fill="F2F5F8"/>
          </w:tcPr>
          <w:p>
            <w:pPr>
              <w:spacing w:after="40"/>
            </w:pPr>
            <w:r/>
            <w:r>
              <w:rPr>
                <w:rFonts w:ascii="Arial" w:hAnsi="Arial"/>
                <w:sz w:val="17"/>
              </w:rPr>
              <w:t>12</w:t>
            </w:r>
          </w:p>
        </w:tc>
        <w:tc>
          <w:tcPr>
            <w:tcW w:type="dxa" w:w="1800"/>
            <w:shd w:val="clear" w:color="auto" w:fill="F2F5F8"/>
          </w:tcPr>
          <w:p>
            <w:pPr>
              <w:spacing w:after="40"/>
            </w:pPr>
            <w:r/>
            <w:r>
              <w:rPr>
                <w:rFonts w:ascii="Arial" w:hAnsi="Arial"/>
                <w:sz w:val="17"/>
              </w:rPr>
              <w:t>MCAP 2026</w:t>
            </w:r>
          </w:p>
        </w:tc>
        <w:tc>
          <w:tcPr>
            <w:tcW w:type="dxa" w:w="3312"/>
            <w:shd w:val="clear" w:color="auto" w:fill="F2F5F8"/>
          </w:tcPr>
          <w:p>
            <w:pPr>
              <w:spacing w:after="40"/>
            </w:pPr>
            <w:r/>
            <w:r>
              <w:rPr>
                <w:rFonts w:ascii="Arial" w:hAnsi="Arial"/>
                <w:sz w:val="17"/>
              </w:rPr>
              <w:t>All gauge readings come from the top third of the tank</w:t>
            </w:r>
          </w:p>
        </w:tc>
        <w:tc>
          <w:tcPr>
            <w:tcW w:type="dxa" w:w="3744"/>
            <w:shd w:val="clear" w:color="auto" w:fill="F2F5F8"/>
          </w:tcPr>
          <w:p>
            <w:pPr>
              <w:spacing w:after="40"/>
            </w:pPr>
            <w:r/>
            <w:r>
              <w:rPr>
                <w:rFonts w:ascii="Arial" w:hAnsi="Arial"/>
                <w:sz w:val="17"/>
              </w:rPr>
              <w:t>The 25% reserve band has no calibration; stated wherever it bears on a conclusion</w:t>
            </w:r>
          </w:p>
        </w:tc>
      </w:tr>
      <w:tr>
        <w:tc>
          <w:tcPr>
            <w:tcW w:type="dxa" w:w="504"/>
          </w:tcPr>
          <w:p>
            <w:pPr>
              <w:spacing w:after="40"/>
            </w:pPr>
            <w:r/>
            <w:r>
              <w:rPr>
                <w:rFonts w:ascii="Arial" w:hAnsi="Arial"/>
                <w:sz w:val="17"/>
              </w:rPr>
              <w:t>13</w:t>
            </w:r>
          </w:p>
        </w:tc>
        <w:tc>
          <w:tcPr>
            <w:tcW w:type="dxa" w:w="1800"/>
          </w:tcPr>
          <w:p>
            <w:pPr>
              <w:spacing w:after="40"/>
            </w:pPr>
            <w:r/>
            <w:r>
              <w:rPr>
                <w:rFonts w:ascii="Arial" w:hAnsi="Arial"/>
                <w:sz w:val="17"/>
              </w:rPr>
              <w:t>Weather</w:t>
            </w:r>
          </w:p>
        </w:tc>
        <w:tc>
          <w:tcPr>
            <w:tcW w:type="dxa" w:w="3312"/>
          </w:tcPr>
          <w:p>
            <w:pPr>
              <w:spacing w:after="40"/>
            </w:pPr>
            <w:r/>
            <w:r>
              <w:rPr>
                <w:rFonts w:ascii="Arial" w:hAnsi="Arial"/>
                <w:sz w:val="17"/>
              </w:rPr>
              <w:t>Sensor not bridged into the recording; no live wind or met topics</w:t>
            </w:r>
          </w:p>
        </w:tc>
        <w:tc>
          <w:tcPr>
            <w:tcW w:type="dxa" w:w="3744"/>
          </w:tcPr>
          <w:p>
            <w:pPr>
              <w:spacing w:after="40"/>
            </w:pPr>
            <w:r/>
            <w:r>
              <w:rPr>
                <w:rFonts w:ascii="Arial" w:hAnsi="Arial"/>
                <w:sz w:val="17"/>
              </w:rPr>
              <w:t>Wind model remains an assumption; the extractor announces the topic if it appears</w:t>
            </w:r>
          </w:p>
        </w:tc>
      </w:tr>
      <w:tr>
        <w:tc>
          <w:tcPr>
            <w:tcW w:type="dxa" w:w="504"/>
            <w:shd w:val="clear" w:color="auto" w:fill="F2F5F8"/>
          </w:tcPr>
          <w:p>
            <w:pPr>
              <w:spacing w:after="40"/>
            </w:pPr>
            <w:r/>
            <w:r>
              <w:rPr>
                <w:rFonts w:ascii="Arial" w:hAnsi="Arial"/>
                <w:sz w:val="17"/>
              </w:rPr>
              <w:t>14</w:t>
            </w:r>
          </w:p>
        </w:tc>
        <w:tc>
          <w:tcPr>
            <w:tcW w:type="dxa" w:w="1800"/>
            <w:shd w:val="clear" w:color="auto" w:fill="F2F5F8"/>
          </w:tcPr>
          <w:p>
            <w:pPr>
              <w:spacing w:after="40"/>
            </w:pPr>
            <w:r/>
            <w:r>
              <w:rPr>
                <w:rFonts w:ascii="Arial" w:hAnsi="Arial"/>
                <w:sz w:val="17"/>
              </w:rPr>
              <w:t>Exail ROE</w:t>
            </w:r>
          </w:p>
        </w:tc>
        <w:tc>
          <w:tcPr>
            <w:tcW w:type="dxa" w:w="3312"/>
            <w:shd w:val="clear" w:color="auto" w:fill="F2F5F8"/>
          </w:tcPr>
          <w:p>
            <w:pPr>
              <w:spacing w:after="40"/>
            </w:pPr>
            <w:r/>
            <w:r>
              <w:rPr>
                <w:rFonts w:ascii="Arial" w:hAnsi="Arial"/>
                <w:sz w:val="17"/>
              </w:rPr>
              <w:t>Fuel cost in dollars with no unit price</w:t>
            </w:r>
          </w:p>
        </w:tc>
        <w:tc>
          <w:tcPr>
            <w:tcW w:type="dxa" w:w="3744"/>
            <w:shd w:val="clear" w:color="auto" w:fill="F2F5F8"/>
          </w:tcPr>
          <w:p>
            <w:pPr>
              <w:spacing w:after="40"/>
            </w:pPr>
            <w:r/>
            <w:r>
              <w:rPr>
                <w:rFonts w:ascii="Arial" w:hAnsi="Arial"/>
                <w:sz w:val="17"/>
              </w:rPr>
              <w:t>Kept in cost terms; litres cannot be recovered from it</w:t>
            </w:r>
          </w:p>
        </w:tc>
      </w:tr>
      <w:tr>
        <w:tc>
          <w:tcPr>
            <w:tcW w:type="dxa" w:w="504"/>
          </w:tcPr>
          <w:p>
            <w:pPr>
              <w:spacing w:after="40"/>
            </w:pPr>
            <w:r/>
            <w:r>
              <w:rPr>
                <w:rFonts w:ascii="Arial" w:hAnsi="Arial"/>
                <w:sz w:val="17"/>
              </w:rPr>
              <w:t>15</w:t>
            </w:r>
          </w:p>
        </w:tc>
        <w:tc>
          <w:tcPr>
            <w:tcW w:type="dxa" w:w="1800"/>
          </w:tcPr>
          <w:p>
            <w:pPr>
              <w:spacing w:after="40"/>
            </w:pPr>
            <w:r/>
            <w:r>
              <w:rPr>
                <w:rFonts w:ascii="Arial" w:hAnsi="Arial"/>
                <w:sz w:val="17"/>
              </w:rPr>
              <w:t>NOAA forecast</w:t>
            </w:r>
          </w:p>
        </w:tc>
        <w:tc>
          <w:tcPr>
            <w:tcW w:type="dxa" w:w="3312"/>
          </w:tcPr>
          <w:p>
            <w:pPr>
              <w:spacing w:after="40"/>
            </w:pPr>
            <w:r/>
            <w:r>
              <w:rPr>
                <w:rFonts w:ascii="Arial" w:hAnsi="Arial"/>
                <w:sz w:val="17"/>
              </w:rPr>
              <w:t>A model output, not a measurement, and surface only</w:t>
            </w:r>
          </w:p>
        </w:tc>
        <w:tc>
          <w:tcPr>
            <w:tcW w:type="dxa" w:w="3744"/>
          </w:tcPr>
          <w:p>
            <w:pPr>
              <w:spacing w:after="40"/>
            </w:pPr>
            <w:r/>
            <w:r>
              <w:rPr>
                <w:rFonts w:ascii="Arial" w:hAnsi="Arial"/>
                <w:sz w:val="17"/>
              </w:rPr>
              <w:t>Used as an INPUT to a plan, never as evidence for a coefficient. Hourly on a ~500 m mesh at 0 m; the vehicle draws 2 m and no shear is modelled</w:t>
            </w:r>
          </w:p>
        </w:tc>
      </w:tr>
      <w:tr>
        <w:tc>
          <w:tcPr>
            <w:tcW w:type="dxa" w:w="504"/>
            <w:shd w:val="clear" w:color="auto" w:fill="F2F5F8"/>
          </w:tcPr>
          <w:p>
            <w:pPr>
              <w:spacing w:after="40"/>
            </w:pPr>
            <w:r/>
            <w:r>
              <w:rPr>
                <w:rFonts w:ascii="Arial" w:hAnsi="Arial"/>
                <w:sz w:val="17"/>
              </w:rPr>
              <w:t>16</w:t>
            </w:r>
          </w:p>
        </w:tc>
        <w:tc>
          <w:tcPr>
            <w:tcW w:type="dxa" w:w="1800"/>
            <w:shd w:val="clear" w:color="auto" w:fill="F2F5F8"/>
          </w:tcPr>
          <w:p>
            <w:pPr>
              <w:spacing w:after="40"/>
            </w:pPr>
            <w:r/>
            <w:r>
              <w:rPr>
                <w:rFonts w:ascii="Arial" w:hAnsi="Arial"/>
                <w:sz w:val="17"/>
              </w:rPr>
              <w:t>NOAA forecast</w:t>
            </w:r>
          </w:p>
        </w:tc>
        <w:tc>
          <w:tcPr>
            <w:tcW w:type="dxa" w:w="3312"/>
            <w:shd w:val="clear" w:color="auto" w:fill="F2F5F8"/>
          </w:tcPr>
          <w:p>
            <w:pPr>
              <w:spacing w:after="40"/>
            </w:pPr>
            <w:r/>
            <w:r>
              <w:rPr>
                <w:rFonts w:ascii="Arial" w:hAnsi="Arial"/>
                <w:sz w:val="17"/>
              </w:rPr>
              <w:t>Applying it double-counts against the SOG-fitted speed law</w:t>
            </w:r>
          </w:p>
        </w:tc>
        <w:tc>
          <w:tcPr>
            <w:tcW w:type="dxa" w:w="3744"/>
            <w:shd w:val="clear" w:color="auto" w:fill="F2F5F8"/>
          </w:tcPr>
          <w:p>
            <w:pPr>
              <w:spacing w:after="40"/>
            </w:pPr>
            <w:r/>
            <w:r>
              <w:rPr>
                <w:rFonts w:ascii="Arial" w:hAnsi="Arial"/>
                <w:sz w:val="17"/>
              </w:rPr>
              <w:t>Stated on the leg, in §8.5 and here. Reciprocal-heading runs at steady RPM are what would separate the two</w:t>
            </w:r>
          </w:p>
        </w:tc>
      </w:tr>
      <w:tr>
        <w:tc>
          <w:tcPr>
            <w:tcW w:type="dxa" w:w="504"/>
          </w:tcPr>
          <w:p>
            <w:pPr>
              <w:spacing w:after="40"/>
            </w:pPr>
            <w:r/>
            <w:r>
              <w:rPr>
                <w:rFonts w:ascii="Arial" w:hAnsi="Arial"/>
                <w:sz w:val="17"/>
              </w:rPr>
              <w:t>17</w:t>
            </w:r>
          </w:p>
        </w:tc>
        <w:tc>
          <w:tcPr>
            <w:tcW w:type="dxa" w:w="1800"/>
          </w:tcPr>
          <w:p>
            <w:pPr>
              <w:spacing w:after="40"/>
            </w:pPr>
            <w:r/>
            <w:r>
              <w:rPr>
                <w:rFonts w:ascii="Arial" w:hAnsi="Arial"/>
                <w:sz w:val="17"/>
              </w:rPr>
              <w:t>NOAA forecast</w:t>
            </w:r>
          </w:p>
        </w:tc>
        <w:tc>
          <w:tcPr>
            <w:tcW w:type="dxa" w:w="3312"/>
          </w:tcPr>
          <w:p>
            <w:pPr>
              <w:spacing w:after="40"/>
            </w:pPr>
            <w:r/>
            <w:r>
              <w:rPr>
                <w:rFonts w:ascii="Arial" w:hAnsi="Arial"/>
                <w:sz w:val="17"/>
              </w:rPr>
              <w:t>The published archive is only about two days deep</w:t>
            </w:r>
          </w:p>
        </w:tc>
        <w:tc>
          <w:tcPr>
            <w:tcW w:type="dxa" w:w="3744"/>
          </w:tcPr>
          <w:p>
            <w:pPr>
              <w:spacing w:after="40"/>
            </w:pPr>
            <w:r/>
            <w:r>
              <w:rPr>
                <w:rFonts w:ascii="Arial" w:hAnsi="Arial"/>
                <w:sz w:val="17"/>
              </w:rPr>
              <w:t>A mission older than that cannot be answered exactly. Beyond it, and past the forecast horizon, values are ESTIMATED by projection and flagged as such</w:t>
            </w:r>
          </w:p>
        </w:tc>
      </w:tr>
      <w:tr>
        <w:tc>
          <w:tcPr>
            <w:tcW w:type="dxa" w:w="504"/>
            <w:shd w:val="clear" w:color="auto" w:fill="F2F5F8"/>
          </w:tcPr>
          <w:p>
            <w:pPr>
              <w:spacing w:after="40"/>
            </w:pPr>
            <w:r/>
            <w:r>
              <w:rPr>
                <w:rFonts w:ascii="Arial" w:hAnsi="Arial"/>
                <w:sz w:val="17"/>
              </w:rPr>
              <w:t>18</w:t>
            </w:r>
          </w:p>
        </w:tc>
        <w:tc>
          <w:tcPr>
            <w:tcW w:type="dxa" w:w="1800"/>
            <w:shd w:val="clear" w:color="auto" w:fill="F2F5F8"/>
          </w:tcPr>
          <w:p>
            <w:pPr>
              <w:spacing w:after="40"/>
            </w:pPr>
            <w:r/>
            <w:r>
              <w:rPr>
                <w:rFonts w:ascii="Arial" w:hAnsi="Arial"/>
                <w:sz w:val="17"/>
              </w:rPr>
              <w:t>NOAA forecast</w:t>
            </w:r>
          </w:p>
        </w:tc>
        <w:tc>
          <w:tcPr>
            <w:tcW w:type="dxa" w:w="3312"/>
            <w:shd w:val="clear" w:color="auto" w:fill="F2F5F8"/>
          </w:tcPr>
          <w:p>
            <w:pPr>
              <w:spacing w:after="40"/>
            </w:pPr>
            <w:r/>
            <w:r>
              <w:rPr>
                <w:rFonts w:ascii="Arial" w:hAnsi="Arial"/>
                <w:sz w:val="17"/>
              </w:rPr>
              <w:t>A projected value is an estimate, not a forecast</w:t>
            </w:r>
          </w:p>
        </w:tc>
        <w:tc>
          <w:tcPr>
            <w:tcW w:type="dxa" w:w="3744"/>
            <w:shd w:val="clear" w:color="auto" w:fill="F2F5F8"/>
          </w:tcPr>
          <w:p>
            <w:pPr>
              <w:spacing w:after="40"/>
            </w:pPr>
            <w:r/>
            <w:r>
              <w:rPr>
                <w:rFonts w:ascii="Arial" w:hAnsi="Arial"/>
                <w:sz w:val="17"/>
              </w:rPr>
              <w:t>Reaches at most three tidal cycles, measured at 0.14-0.21 kt RMS against the model itself; refused beyond that. Never applied silently</w:t>
            </w:r>
          </w:p>
        </w:tc>
      </w:tr>
    </w:tbl>
    <w:p>
      <w:pPr>
        <w:spacing w:after="200"/>
      </w:pPr>
      <w:r>
        <w:rPr>
          <w:rFonts w:ascii="Arial" w:hAnsi="Arial"/>
          <w:b w:val="0"/>
          <w:i/>
          <w:color w:val="5B6B7A"/>
          <w:sz w:val="16"/>
        </w:rPr>
        <w:t>Table 17 — Data quality register.</w:t>
      </w:r>
    </w:p>
    <w:p>
      <w:pPr>
        <w:pStyle w:val="Heading1"/>
      </w:pPr>
      <w:r>
        <w:t>10.  Findings and recommendations</w:t>
      </w:r>
    </w:p>
    <w:p>
      <w:pPr>
        <w:pStyle w:val="Heading2"/>
      </w:pPr>
      <w:r>
        <w:t>10.1  Findings</w:t>
      </w:r>
    </w:p>
    <w:tbl>
      <w:tblPr>
        <w:tblW w:type="auto" w:w="0"/>
        <w:jc w:val="center"/>
        <w:tblLayout w:type="fixed"/>
        <w:tblLook w:firstColumn="1" w:firstRow="1" w:lastColumn="0" w:lastRow="0" w:noHBand="0" w:noVBand="1" w:val="04A0"/>
      </w:tblPr>
      <w:tblGrid>
        <w:gridCol w:w="3120"/>
        <w:gridCol w:w="3120"/>
        <w:gridCol w:w="3120"/>
      </w:tblGrid>
      <w:tr>
        <w:tc>
          <w:tcPr>
            <w:tcW w:type="dxa" w:w="504"/>
            <w:shd w:val="clear" w:color="auto" w:fill="1F3B60"/>
          </w:tcPr>
          <w:p>
            <w:pPr>
              <w:spacing w:after="40"/>
            </w:pPr>
            <w:r/>
            <w:r>
              <w:rPr>
                <w:rFonts w:ascii="Arial" w:hAnsi="Arial"/>
                <w:b/>
                <w:color w:val="FFFFFF"/>
                <w:sz w:val="17"/>
              </w:rPr>
              <w:t>#</w:t>
            </w:r>
          </w:p>
        </w:tc>
        <w:tc>
          <w:tcPr>
            <w:tcW w:type="dxa" w:w="5976"/>
            <w:shd w:val="clear" w:color="auto" w:fill="1F3B60"/>
          </w:tcPr>
          <w:p>
            <w:pPr>
              <w:spacing w:after="40"/>
            </w:pPr>
            <w:r/>
            <w:r>
              <w:rPr>
                <w:rFonts w:ascii="Arial" w:hAnsi="Arial"/>
                <w:b/>
                <w:color w:val="FFFFFF"/>
                <w:sz w:val="17"/>
              </w:rPr>
              <w:t>Finding</w:t>
            </w:r>
          </w:p>
        </w:tc>
        <w:tc>
          <w:tcPr>
            <w:tcW w:type="dxa" w:w="2592"/>
            <w:shd w:val="clear" w:color="auto" w:fill="1F3B60"/>
          </w:tcPr>
          <w:p>
            <w:pPr>
              <w:spacing w:after="40"/>
            </w:pPr>
            <w:r/>
            <w:r>
              <w:rPr>
                <w:rFonts w:ascii="Arial" w:hAnsi="Arial"/>
                <w:b/>
                <w:color w:val="FFFFFF"/>
                <w:sz w:val="17"/>
              </w:rPr>
              <w:t>Confidence</w:t>
            </w:r>
          </w:p>
        </w:tc>
      </w:tr>
      <w:tr>
        <w:tc>
          <w:tcPr>
            <w:tcW w:type="dxa" w:w="504"/>
          </w:tcPr>
          <w:p>
            <w:pPr>
              <w:spacing w:after="40"/>
            </w:pPr>
            <w:r/>
            <w:r>
              <w:rPr>
                <w:rFonts w:ascii="Arial" w:hAnsi="Arial"/>
                <w:sz w:val="17"/>
              </w:rPr>
              <w:t>1</w:t>
            </w:r>
          </w:p>
        </w:tc>
        <w:tc>
          <w:tcPr>
            <w:tcW w:type="dxa" w:w="5976"/>
          </w:tcPr>
          <w:p>
            <w:pPr>
              <w:spacing w:after="40"/>
            </w:pPr>
            <w:r/>
            <w:r>
              <w:rPr>
                <w:rFonts w:ascii="Arial" w:hAnsi="Arial"/>
                <w:sz w:val="17"/>
              </w:rPr>
              <w:t>Fuel rate is linear in engine RPM over 1020–2500 rpm (R² 0.972)</w:t>
            </w:r>
          </w:p>
        </w:tc>
        <w:tc>
          <w:tcPr>
            <w:tcW w:type="dxa" w:w="2592"/>
          </w:tcPr>
          <w:p>
            <w:pPr>
              <w:spacing w:after="40"/>
            </w:pPr>
            <w:r/>
            <w:r>
              <w:rPr>
                <w:rFonts w:ascii="Arial" w:hAnsi="Arial"/>
                <w:sz w:val="17"/>
              </w:rPr>
              <w:t>High — measured</w:t>
            </w:r>
          </w:p>
        </w:tc>
      </w:tr>
      <w:tr>
        <w:tc>
          <w:tcPr>
            <w:tcW w:type="dxa" w:w="504"/>
            <w:shd w:val="clear" w:color="auto" w:fill="F2F5F8"/>
          </w:tcPr>
          <w:p>
            <w:pPr>
              <w:spacing w:after="40"/>
            </w:pPr>
            <w:r/>
            <w:r>
              <w:rPr>
                <w:rFonts w:ascii="Arial" w:hAnsi="Arial"/>
                <w:sz w:val="17"/>
              </w:rPr>
              <w:t>2</w:t>
            </w:r>
          </w:p>
        </w:tc>
        <w:tc>
          <w:tcPr>
            <w:tcW w:type="dxa" w:w="5976"/>
            <w:shd w:val="clear" w:color="auto" w:fill="F2F5F8"/>
          </w:tcPr>
          <w:p>
            <w:pPr>
              <w:spacing w:after="40"/>
            </w:pPr>
            <w:r/>
            <w:r>
              <w:rPr>
                <w:rFonts w:ascii="Arial" w:hAnsi="Arial"/>
                <w:sz w:val="17"/>
              </w:rPr>
              <w:t>Efficiency peaks near 4 kt at about 3.2 NM/L (EM712)</w:t>
            </w:r>
          </w:p>
        </w:tc>
        <w:tc>
          <w:tcPr>
            <w:tcW w:type="dxa" w:w="2592"/>
            <w:shd w:val="clear" w:color="auto" w:fill="F2F5F8"/>
          </w:tcPr>
          <w:p>
            <w:pPr>
              <w:spacing w:after="40"/>
            </w:pPr>
            <w:r/>
            <w:r>
              <w:rPr>
                <w:rFonts w:ascii="Arial" w:hAnsi="Arial"/>
                <w:sz w:val="17"/>
              </w:rPr>
              <w:t>High — measured</w:t>
            </w:r>
          </w:p>
        </w:tc>
      </w:tr>
      <w:tr>
        <w:tc>
          <w:tcPr>
            <w:tcW w:type="dxa" w:w="504"/>
          </w:tcPr>
          <w:p>
            <w:pPr>
              <w:spacing w:after="40"/>
            </w:pPr>
            <w:r/>
            <w:r>
              <w:rPr>
                <w:rFonts w:ascii="Arial" w:hAnsi="Arial"/>
                <w:sz w:val="17"/>
              </w:rPr>
              <w:t>3</w:t>
            </w:r>
          </w:p>
        </w:tc>
        <w:tc>
          <w:tcPr>
            <w:tcW w:type="dxa" w:w="5976"/>
          </w:tcPr>
          <w:p>
            <w:pPr>
              <w:spacing w:after="40"/>
            </w:pPr>
            <w:r/>
            <w:r>
              <w:rPr>
                <w:rFonts w:ascii="Arial" w:hAnsi="Arial"/>
                <w:sz w:val="17"/>
              </w:rPr>
              <w:t>The 8 kt survey speed costs 1.9× the fuel per NM on the EM712, and is an extrapolation there</w:t>
            </w:r>
          </w:p>
        </w:tc>
        <w:tc>
          <w:tcPr>
            <w:tcW w:type="dxa" w:w="2592"/>
          </w:tcPr>
          <w:p>
            <w:pPr>
              <w:spacing w:after="40"/>
            </w:pPr>
            <w:r/>
            <w:r>
              <w:rPr>
                <w:rFonts w:ascii="Arial" w:hAnsi="Arial"/>
                <w:sz w:val="17"/>
              </w:rPr>
              <w:t>High, with the extrapolation caveat</w:t>
            </w:r>
          </w:p>
        </w:tc>
      </w:tr>
      <w:tr>
        <w:tc>
          <w:tcPr>
            <w:tcW w:type="dxa" w:w="504"/>
            <w:shd w:val="clear" w:color="auto" w:fill="F2F5F8"/>
          </w:tcPr>
          <w:p>
            <w:pPr>
              <w:spacing w:after="40"/>
            </w:pPr>
            <w:r/>
            <w:r>
              <w:rPr>
                <w:rFonts w:ascii="Arial" w:hAnsi="Arial"/>
                <w:sz w:val="17"/>
              </w:rPr>
              <w:t>4</w:t>
            </w:r>
          </w:p>
        </w:tc>
        <w:tc>
          <w:tcPr>
            <w:tcW w:type="dxa" w:w="5976"/>
            <w:shd w:val="clear" w:color="auto" w:fill="F2F5F8"/>
          </w:tcPr>
          <w:p>
            <w:pPr>
              <w:spacing w:after="40"/>
            </w:pPr>
            <w:r/>
            <w:r>
              <w:rPr>
                <w:rFonts w:ascii="Arial" w:hAnsi="Arial"/>
                <w:sz w:val="17"/>
              </w:rPr>
              <w:t>Speed at equal RPM fell 18.6% between 2022 and 2024</w:t>
            </w:r>
          </w:p>
        </w:tc>
        <w:tc>
          <w:tcPr>
            <w:tcW w:type="dxa" w:w="2592"/>
            <w:shd w:val="clear" w:color="auto" w:fill="F2F5F8"/>
          </w:tcPr>
          <w:p>
            <w:pPr>
              <w:spacing w:after="40"/>
            </w:pPr>
            <w:r/>
            <w:r>
              <w:rPr>
                <w:rFonts w:ascii="Arial" w:hAnsi="Arial"/>
                <w:sz w:val="17"/>
              </w:rPr>
              <w:t>High — three agreeing tests</w:t>
            </w:r>
          </w:p>
        </w:tc>
      </w:tr>
      <w:tr>
        <w:tc>
          <w:tcPr>
            <w:tcW w:type="dxa" w:w="504"/>
          </w:tcPr>
          <w:p>
            <w:pPr>
              <w:spacing w:after="40"/>
            </w:pPr>
            <w:r/>
            <w:r>
              <w:rPr>
                <w:rFonts w:ascii="Arial" w:hAnsi="Arial"/>
                <w:sz w:val="17"/>
              </w:rPr>
              <w:t>5</w:t>
            </w:r>
          </w:p>
        </w:tc>
        <w:tc>
          <w:tcPr>
            <w:tcW w:type="dxa" w:w="5976"/>
          </w:tcPr>
          <w:p>
            <w:pPr>
              <w:spacing w:after="40"/>
            </w:pPr>
            <w:r/>
            <w:r>
              <w:rPr>
                <w:rFonts w:ascii="Arial" w:hAnsi="Arial"/>
                <w:sz w:val="17"/>
              </w:rPr>
              <w:t>The vehicle is now drag-limited near 9.8 kt at WOT</w:t>
            </w:r>
          </w:p>
        </w:tc>
        <w:tc>
          <w:tcPr>
            <w:tcW w:type="dxa" w:w="2592"/>
          </w:tcPr>
          <w:p>
            <w:pPr>
              <w:spacing w:after="40"/>
            </w:pPr>
            <w:r/>
            <w:r>
              <w:rPr>
                <w:rFonts w:ascii="Arial" w:hAnsi="Arial"/>
                <w:sz w:val="17"/>
              </w:rPr>
              <w:t>High — measured</w:t>
            </w:r>
          </w:p>
        </w:tc>
      </w:tr>
      <w:tr>
        <w:tc>
          <w:tcPr>
            <w:tcW w:type="dxa" w:w="504"/>
            <w:shd w:val="clear" w:color="auto" w:fill="F2F5F8"/>
          </w:tcPr>
          <w:p>
            <w:pPr>
              <w:spacing w:after="40"/>
            </w:pPr>
            <w:r/>
            <w:r>
              <w:rPr>
                <w:rFonts w:ascii="Arial" w:hAnsi="Arial"/>
                <w:sz w:val="17"/>
              </w:rPr>
              <w:t>6</w:t>
            </w:r>
          </w:p>
        </w:tc>
        <w:tc>
          <w:tcPr>
            <w:tcW w:type="dxa" w:w="5976"/>
            <w:shd w:val="clear" w:color="auto" w:fill="F2F5F8"/>
          </w:tcPr>
          <w:p>
            <w:pPr>
              <w:spacing w:after="40"/>
            </w:pPr>
            <w:r/>
            <w:r>
              <w:rPr>
                <w:rFonts w:ascii="Arial" w:hAnsi="Arial"/>
                <w:sz w:val="17"/>
              </w:rPr>
              <w:t>Heading alone moves measured speed ±6.9% at constant RPM</w:t>
            </w:r>
          </w:p>
        </w:tc>
        <w:tc>
          <w:tcPr>
            <w:tcW w:type="dxa" w:w="2592"/>
            <w:shd w:val="clear" w:color="auto" w:fill="F2F5F8"/>
          </w:tcPr>
          <w:p>
            <w:pPr>
              <w:spacing w:after="40"/>
            </w:pPr>
            <w:r/>
            <w:r>
              <w:rPr>
                <w:rFonts w:ascii="Arial" w:hAnsi="Arial"/>
                <w:sz w:val="17"/>
              </w:rPr>
              <w:t>High — measured</w:t>
            </w:r>
          </w:p>
        </w:tc>
      </w:tr>
      <w:tr>
        <w:tc>
          <w:tcPr>
            <w:tcW w:type="dxa" w:w="504"/>
          </w:tcPr>
          <w:p>
            <w:pPr>
              <w:spacing w:after="40"/>
            </w:pPr>
            <w:r/>
            <w:r>
              <w:rPr>
                <w:rFonts w:ascii="Arial" w:hAnsi="Arial"/>
                <w:sz w:val="17"/>
              </w:rPr>
              <w:t>7</w:t>
            </w:r>
          </w:p>
        </w:tc>
        <w:tc>
          <w:tcPr>
            <w:tcW w:type="dxa" w:w="5976"/>
          </w:tcPr>
          <w:p>
            <w:pPr>
              <w:spacing w:after="40"/>
            </w:pPr>
            <w:r/>
            <w:r>
              <w:rPr>
                <w:rFonts w:ascii="Arial" w:hAnsi="Arial"/>
                <w:sz w:val="17"/>
              </w:rPr>
              <w:t>The physical tank is 250 L on every hull</w:t>
            </w:r>
          </w:p>
        </w:tc>
        <w:tc>
          <w:tcPr>
            <w:tcW w:type="dxa" w:w="2592"/>
          </w:tcPr>
          <w:p>
            <w:pPr>
              <w:spacing w:after="40"/>
            </w:pPr>
            <w:r/>
            <w:r>
              <w:rPr>
                <w:rFonts w:ascii="Arial" w:hAnsi="Arial"/>
                <w:sz w:val="17"/>
              </w:rPr>
              <w:t>Established — engineering drawings</w:t>
            </w:r>
          </w:p>
        </w:tc>
      </w:tr>
      <w:tr>
        <w:tc>
          <w:tcPr>
            <w:tcW w:type="dxa" w:w="504"/>
            <w:shd w:val="clear" w:color="auto" w:fill="F2F5F8"/>
          </w:tcPr>
          <w:p>
            <w:pPr>
              <w:spacing w:after="40"/>
            </w:pPr>
            <w:r/>
            <w:r>
              <w:rPr>
                <w:rFonts w:ascii="Arial" w:hAnsi="Arial"/>
                <w:sz w:val="17"/>
              </w:rPr>
              <w:t>8</w:t>
            </w:r>
          </w:p>
        </w:tc>
        <w:tc>
          <w:tcPr>
            <w:tcW w:type="dxa" w:w="5976"/>
            <w:shd w:val="clear" w:color="auto" w:fill="F2F5F8"/>
          </w:tcPr>
          <w:p>
            <w:pPr>
              <w:spacing w:after="40"/>
            </w:pPr>
            <w:r/>
            <w:r>
              <w:rPr>
                <w:rFonts w:ascii="Arial" w:hAnsi="Arial"/>
                <w:sz w:val="17"/>
              </w:rPr>
              <w:t>The gauge span is 205–209 L, so ~44 L of the tank is outside the indicated range</w:t>
            </w:r>
          </w:p>
        </w:tc>
        <w:tc>
          <w:tcPr>
            <w:tcW w:type="dxa" w:w="2592"/>
            <w:shd w:val="clear" w:color="auto" w:fill="F2F5F8"/>
          </w:tcPr>
          <w:p>
            <w:pPr>
              <w:spacing w:after="40"/>
            </w:pPr>
            <w:r/>
            <w:r>
              <w:rPr>
                <w:rFonts w:ascii="Arial" w:hAnsi="Arial"/>
                <w:sz w:val="17"/>
              </w:rPr>
              <w:t>High — three sources inside 2%, all slopes</w:t>
            </w:r>
          </w:p>
        </w:tc>
      </w:tr>
      <w:tr>
        <w:tc>
          <w:tcPr>
            <w:tcW w:type="dxa" w:w="504"/>
          </w:tcPr>
          <w:p>
            <w:pPr>
              <w:spacing w:after="40"/>
            </w:pPr>
            <w:r/>
            <w:r>
              <w:rPr>
                <w:rFonts w:ascii="Arial" w:hAnsi="Arial"/>
                <w:sz w:val="17"/>
              </w:rPr>
              <w:t>9</w:t>
            </w:r>
          </w:p>
        </w:tc>
        <w:tc>
          <w:tcPr>
            <w:tcW w:type="dxa" w:w="5976"/>
          </w:tcPr>
          <w:p>
            <w:pPr>
              <w:spacing w:after="40"/>
            </w:pPr>
            <w:r/>
            <w:r>
              <w:rPr>
                <w:rFonts w:ascii="Arial" w:hAnsi="Arial"/>
                <w:sz w:val="17"/>
              </w:rPr>
              <w:t>The gauge scale is 2.06 ± 0.11 L per indicated point</w:t>
            </w:r>
          </w:p>
        </w:tc>
        <w:tc>
          <w:tcPr>
            <w:tcW w:type="dxa" w:w="2592"/>
          </w:tcPr>
          <w:p>
            <w:pPr>
              <w:spacing w:after="40"/>
            </w:pPr>
            <w:r/>
            <w:r>
              <w:rPr>
                <w:rFonts w:ascii="Arial" w:hAnsi="Arial"/>
                <w:sz w:val="17"/>
              </w:rPr>
              <w:t>High — direct flow-meter calibration</w:t>
            </w:r>
          </w:p>
        </w:tc>
      </w:tr>
      <w:tr>
        <w:tc>
          <w:tcPr>
            <w:tcW w:type="dxa" w:w="504"/>
            <w:shd w:val="clear" w:color="auto" w:fill="F2F5F8"/>
          </w:tcPr>
          <w:p>
            <w:pPr>
              <w:spacing w:after="40"/>
            </w:pPr>
            <w:r/>
            <w:r>
              <w:rPr>
                <w:rFonts w:ascii="Arial" w:hAnsi="Arial"/>
                <w:sz w:val="17"/>
              </w:rPr>
              <w:t>10</w:t>
            </w:r>
          </w:p>
        </w:tc>
        <w:tc>
          <w:tcPr>
            <w:tcW w:type="dxa" w:w="5976"/>
            <w:shd w:val="clear" w:color="auto" w:fill="F2F5F8"/>
          </w:tcPr>
          <w:p>
            <w:pPr>
              <w:spacing w:after="40"/>
            </w:pPr>
            <w:r/>
            <w:r>
              <w:rPr>
                <w:rFonts w:ascii="Arial" w:hAnsi="Arial"/>
                <w:sz w:val="17"/>
              </w:rPr>
              <w:t>Gauge non-linearity is UNRESOLVED — the per-day spread is 1.5σ</w:t>
            </w:r>
          </w:p>
        </w:tc>
        <w:tc>
          <w:tcPr>
            <w:tcW w:type="dxa" w:w="2592"/>
            <w:shd w:val="clear" w:color="auto" w:fill="F2F5F8"/>
          </w:tcPr>
          <w:p>
            <w:pPr>
              <w:spacing w:after="40"/>
            </w:pPr>
            <w:r/>
            <w:r>
              <w:rPr>
                <w:rFonts w:ascii="Arial" w:hAnsi="Arial"/>
                <w:sz w:val="17"/>
              </w:rPr>
              <w:t>Established as NOT established</w:t>
            </w:r>
          </w:p>
        </w:tc>
      </w:tr>
      <w:tr>
        <w:tc>
          <w:tcPr>
            <w:tcW w:type="dxa" w:w="504"/>
          </w:tcPr>
          <w:p>
            <w:pPr>
              <w:spacing w:after="40"/>
            </w:pPr>
            <w:r/>
            <w:r>
              <w:rPr>
                <w:rFonts w:ascii="Arial" w:hAnsi="Arial"/>
                <w:sz w:val="17"/>
              </w:rPr>
              <w:t>11</w:t>
            </w:r>
          </w:p>
        </w:tc>
        <w:tc>
          <w:tcPr>
            <w:tcW w:type="dxa" w:w="5976"/>
          </w:tcPr>
          <w:p>
            <w:pPr>
              <w:spacing w:after="40"/>
            </w:pPr>
            <w:r/>
            <w:r>
              <w:rPr>
                <w:rFonts w:ascii="Arial" w:hAnsi="Arial"/>
                <w:sz w:val="17"/>
              </w:rPr>
              <w:t>The reserve floor is a needle position, so mission fuel is an integral over the gauge, not capacity x (1 - reserve)</w:t>
            </w:r>
          </w:p>
        </w:tc>
        <w:tc>
          <w:tcPr>
            <w:tcW w:type="dxa" w:w="2592"/>
          </w:tcPr>
          <w:p>
            <w:pPr>
              <w:spacing w:after="40"/>
            </w:pPr>
            <w:r/>
            <w:r>
              <w:rPr>
                <w:rFonts w:ascii="Arial" w:hAnsi="Arial"/>
                <w:sz w:val="17"/>
              </w:rPr>
              <w:t>High — follows from the policy</w:t>
            </w:r>
          </w:p>
        </w:tc>
      </w:tr>
      <w:tr>
        <w:tc>
          <w:tcPr>
            <w:tcW w:type="dxa" w:w="504"/>
            <w:shd w:val="clear" w:color="auto" w:fill="F2F5F8"/>
          </w:tcPr>
          <w:p>
            <w:pPr>
              <w:spacing w:after="40"/>
            </w:pPr>
            <w:r/>
            <w:r>
              <w:rPr>
                <w:rFonts w:ascii="Arial" w:hAnsi="Arial"/>
                <w:sz w:val="17"/>
              </w:rPr>
              <w:t>12</w:t>
            </w:r>
          </w:p>
        </w:tc>
        <w:tc>
          <w:tcPr>
            <w:tcW w:type="dxa" w:w="5976"/>
            <w:shd w:val="clear" w:color="auto" w:fill="F2F5F8"/>
          </w:tcPr>
          <w:p>
            <w:pPr>
              <w:spacing w:after="40"/>
            </w:pPr>
            <w:r/>
            <w:r>
              <w:rPr>
                <w:rFonts w:ascii="Arial" w:hAnsi="Arial"/>
                <w:sz w:val="17"/>
              </w:rPr>
              <w:t>Mission fuel is 186 L on the adopted reading (A), 154 L on the conservative reading (B)</w:t>
            </w:r>
          </w:p>
        </w:tc>
        <w:tc>
          <w:tcPr>
            <w:tcW w:type="dxa" w:w="2592"/>
            <w:shd w:val="clear" w:color="auto" w:fill="F2F5F8"/>
          </w:tcPr>
          <w:p>
            <w:pPr>
              <w:spacing w:after="40"/>
            </w:pPr>
            <w:r/>
            <w:r>
              <w:rPr>
                <w:rFonts w:ascii="Arial" w:hAnsi="Arial"/>
                <w:sz w:val="17"/>
              </w:rPr>
              <w:t>INFERRED — (A) rests on the drawings, not a drawdown</w:t>
            </w:r>
          </w:p>
        </w:tc>
      </w:tr>
      <w:tr>
        <w:tc>
          <w:tcPr>
            <w:tcW w:type="dxa" w:w="504"/>
          </w:tcPr>
          <w:p>
            <w:pPr>
              <w:spacing w:after="40"/>
            </w:pPr>
            <w:r/>
            <w:r>
              <w:rPr>
                <w:rFonts w:ascii="Arial" w:hAnsi="Arial"/>
                <w:sz w:val="17"/>
              </w:rPr>
              <w:t>13</w:t>
            </w:r>
          </w:p>
        </w:tc>
        <w:tc>
          <w:tcPr>
            <w:tcW w:type="dxa" w:w="5976"/>
          </w:tcPr>
          <w:p>
            <w:pPr>
              <w:spacing w:after="40"/>
            </w:pPr>
            <w:r/>
            <w:r>
              <w:rPr>
                <w:rFonts w:ascii="Arial" w:hAnsi="Arial"/>
                <w:sz w:val="17"/>
              </w:rPr>
              <w:t>Sea state: the calm anchor is measured; the slope into rough water is not</w:t>
            </w:r>
          </w:p>
        </w:tc>
        <w:tc>
          <w:tcPr>
            <w:tcW w:type="dxa" w:w="2592"/>
          </w:tcPr>
          <w:p>
            <w:pPr>
              <w:spacing w:after="40"/>
            </w:pPr>
            <w:r/>
            <w:r>
              <w:rPr>
                <w:rFonts w:ascii="Arial" w:hAnsi="Arial"/>
                <w:sz w:val="17"/>
              </w:rPr>
              <w:t>High — demonstrated</w:t>
            </w:r>
          </w:p>
        </w:tc>
      </w:tr>
      <w:tr>
        <w:tc>
          <w:tcPr>
            <w:tcW w:type="dxa" w:w="504"/>
            <w:shd w:val="clear" w:color="auto" w:fill="F2F5F8"/>
          </w:tcPr>
          <w:p>
            <w:pPr>
              <w:spacing w:after="40"/>
            </w:pPr>
            <w:r/>
            <w:r>
              <w:rPr>
                <w:rFonts w:ascii="Arial" w:hAnsi="Arial"/>
                <w:sz w:val="17"/>
              </w:rPr>
              <w:t>14</w:t>
            </w:r>
          </w:p>
        </w:tc>
        <w:tc>
          <w:tcPr>
            <w:tcW w:type="dxa" w:w="5976"/>
            <w:shd w:val="clear" w:color="auto" w:fill="F2F5F8"/>
          </w:tcPr>
          <w:p>
            <w:pPr>
              <w:spacing w:after="40"/>
            </w:pPr>
            <w:r/>
            <w:r>
              <w:rPr>
                <w:rFonts w:ascii="Arial" w:hAnsi="Arial"/>
                <w:sz w:val="17"/>
              </w:rPr>
              <w:t>Fuel is under 1% of mission cost</w:t>
            </w:r>
          </w:p>
        </w:tc>
        <w:tc>
          <w:tcPr>
            <w:tcW w:type="dxa" w:w="2592"/>
            <w:shd w:val="clear" w:color="auto" w:fill="F2F5F8"/>
          </w:tcPr>
          <w:p>
            <w:pPr>
              <w:spacing w:after="40"/>
            </w:pPr>
            <w:r/>
            <w:r>
              <w:rPr>
                <w:rFonts w:ascii="Arial" w:hAnsi="Arial"/>
                <w:sz w:val="17"/>
              </w:rPr>
              <w:t>High — from the ROE model as given</w:t>
            </w:r>
          </w:p>
        </w:tc>
      </w:tr>
      <w:tr>
        <w:tc>
          <w:tcPr>
            <w:tcW w:type="dxa" w:w="504"/>
          </w:tcPr>
          <w:p>
            <w:pPr>
              <w:spacing w:after="40"/>
            </w:pPr>
            <w:r/>
            <w:r>
              <w:rPr>
                <w:rFonts w:ascii="Arial" w:hAnsi="Arial"/>
                <w:sz w:val="17"/>
              </w:rPr>
              <w:t>15</w:t>
            </w:r>
          </w:p>
        </w:tc>
        <w:tc>
          <w:tcPr>
            <w:tcW w:type="dxa" w:w="5976"/>
          </w:tcPr>
          <w:p>
            <w:pPr>
              <w:spacing w:after="40"/>
            </w:pPr>
            <w:r/>
            <w:r>
              <w:rPr>
                <w:rFonts w:ascii="Arial" w:hAnsi="Arial"/>
                <w:sz w:val="17"/>
              </w:rPr>
              <w:t>EM2040 measured directly: 2.41 NM/L at 8 kt, six days of logs</w:t>
            </w:r>
          </w:p>
        </w:tc>
        <w:tc>
          <w:tcPr>
            <w:tcW w:type="dxa" w:w="2592"/>
          </w:tcPr>
          <w:p>
            <w:pPr>
              <w:spacing w:after="40"/>
            </w:pPr>
            <w:r/>
            <w:r>
              <w:rPr>
                <w:rFonts w:ascii="Arial" w:hAnsi="Arial"/>
                <w:sz w:val="17"/>
              </w:rPr>
              <w:t>High — MCAP refit, Aug 2026</w:t>
            </w:r>
          </w:p>
        </w:tc>
      </w:tr>
      <w:tr>
        <w:tc>
          <w:tcPr>
            <w:tcW w:type="dxa" w:w="504"/>
            <w:shd w:val="clear" w:color="auto" w:fill="F2F5F8"/>
          </w:tcPr>
          <w:p>
            <w:pPr>
              <w:spacing w:after="40"/>
            </w:pPr>
            <w:r/>
            <w:r>
              <w:rPr>
                <w:rFonts w:ascii="Arial" w:hAnsi="Arial"/>
                <w:sz w:val="17"/>
              </w:rPr>
              <w:t>16</w:t>
            </w:r>
          </w:p>
        </w:tc>
        <w:tc>
          <w:tcPr>
            <w:tcW w:type="dxa" w:w="5976"/>
            <w:shd w:val="clear" w:color="auto" w:fill="F2F5F8"/>
          </w:tcPr>
          <w:p>
            <w:pPr>
              <w:spacing w:after="40"/>
            </w:pPr>
            <w:r/>
            <w:r>
              <w:rPr>
                <w:rFonts w:ascii="Arial" w:hAnsi="Arial"/>
                <w:sz w:val="17"/>
              </w:rPr>
              <w:t>The onboard static endurance model runs ~2.0× the measured burn</w:t>
            </w:r>
          </w:p>
        </w:tc>
        <w:tc>
          <w:tcPr>
            <w:tcW w:type="dxa" w:w="2592"/>
            <w:shd w:val="clear" w:color="auto" w:fill="F2F5F8"/>
          </w:tcPr>
          <w:p>
            <w:pPr>
              <w:spacing w:after="40"/>
            </w:pPr>
            <w:r/>
            <w:r>
              <w:rPr>
                <w:rFonts w:ascii="Arial" w:hAnsi="Arial"/>
                <w:sz w:val="17"/>
              </w:rPr>
              <w:t>Moderate — one configuration</w:t>
            </w:r>
          </w:p>
        </w:tc>
      </w:tr>
    </w:tbl>
    <w:p>
      <w:pPr>
        <w:spacing w:after="200"/>
      </w:pPr>
      <w:r>
        <w:rPr>
          <w:rFonts w:ascii="Arial" w:hAnsi="Arial"/>
          <w:b w:val="0"/>
          <w:i/>
          <w:color w:val="5B6B7A"/>
          <w:sz w:val="16"/>
        </w:rPr>
        <w:t>Table 18 — Findings with confidence. Confidence reflects the evidence, not the importance.</w:t>
      </w:r>
    </w:p>
    <w:p>
      <w:pPr>
        <w:pStyle w:val="Heading2"/>
      </w:pPr>
      <w:r>
        <w:t>10.2  Recommendations</w:t>
      </w:r>
    </w:p>
    <w:p>
      <w:pPr>
        <w:pStyle w:val="ListBullet"/>
        <w:spacing w:after="60"/>
      </w:pPr>
      <w:r>
        <w:rPr>
          <w:rFonts w:ascii="Arial" w:hAnsi="Arial"/>
          <w:b/>
          <w:sz w:val="20"/>
        </w:rPr>
        <w:t xml:space="preserve">Run one controlled drawdown into the reserve band with the flow meter logging. </w:t>
      </w:r>
      <w:r>
        <w:rPr>
          <w:rFonts w:ascii="Arial" w:hAnsi="Arial"/>
          <w:sz w:val="20"/>
        </w:rPr>
        <w:t>This is now the single highest-value measurement outstanding. The 25% floor is where every plan is judged and it is the one band with no calibration at all — 9 indicated points below the lowest level ever logged (34%) have never been observed. Running from there to the floor costs about 23 L and 7 hours at survey speed and would fix litres per point to 7.8%; half of it costs 12 L and 3 hours for 15.6%. A tank sounding alongside would settle capacity in the same afternoon.</w:t>
      </w:r>
    </w:p>
    <w:p>
      <w:pPr>
        <w:pStyle w:val="ListBullet"/>
        <w:spacing w:after="60"/>
      </w:pPr>
      <w:r>
        <w:rPr>
          <w:rFonts w:ascii="Arial" w:hAnsi="Arial"/>
          <w:b/>
          <w:sz w:val="20"/>
        </w:rPr>
        <w:t xml:space="preserve">Log litres against indicated percentage at every refuel. </w:t>
      </w:r>
      <w:r>
        <w:rPr>
          <w:rFonts w:ascii="Arial" w:hAnsi="Arial"/>
          <w:sz w:val="20"/>
        </w:rPr>
        <w:t>The slope gives litres per point directly and the scatter across different starting levels is the only thing that will ever resolve the non-linearity question §6.3 has to leave open.</w:t>
      </w:r>
    </w:p>
    <w:p>
      <w:pPr>
        <w:pStyle w:val="ListBullet"/>
        <w:spacing w:after="60"/>
      </w:pPr>
      <w:r>
        <w:rPr>
          <w:rFonts w:ascii="Arial" w:hAnsi="Arial"/>
          <w:b/>
          <w:sz w:val="20"/>
        </w:rPr>
        <w:t xml:space="preserve">Run one fixed-RPM leg in a seaway. </w:t>
      </w:r>
      <w:r>
        <w:rPr>
          <w:rFonts w:ascii="Arial" w:hAnsi="Arial"/>
          <w:sz w:val="20"/>
        </w:rPr>
        <w:t>Matched speed, same heading, calm against rough. The calm end is now measured, so this single experiment would convert the sea-state table from assumption to measurement.</w:t>
      </w:r>
    </w:p>
    <w:p>
      <w:pPr>
        <w:pStyle w:val="ListBullet"/>
        <w:spacing w:after="60"/>
      </w:pPr>
      <w:r>
        <w:rPr>
          <w:rFonts w:ascii="Arial" w:hAnsi="Arial"/>
          <w:b/>
          <w:sz w:val="20"/>
        </w:rPr>
        <w:t xml:space="preserve">Bridge the weather sensor into the connectivity-box recording. </w:t>
      </w:r>
      <w:r>
        <w:rPr>
          <w:rFonts w:ascii="Arial" w:hAnsi="Arial"/>
          <w:sz w:val="20"/>
        </w:rPr>
        <w:t>Until it appears, the wind model stays an assumption. The extraction pipeline probes for it on every new day and will announce it the moment it arrives.</w:t>
      </w:r>
    </w:p>
    <w:p>
      <w:pPr>
        <w:pStyle w:val="ListBullet"/>
        <w:spacing w:after="60"/>
      </w:pPr>
      <w:r>
        <w:rPr>
          <w:rFonts w:ascii="Arial" w:hAnsi="Arial"/>
          <w:b/>
          <w:sz w:val="20"/>
        </w:rPr>
        <w:t xml:space="preserve">Collect steady runs between 1100 and 1400 rpm. </w:t>
      </w:r>
      <w:r>
        <w:rPr>
          <w:rFonts w:ascii="Arial" w:hAnsi="Arial"/>
          <w:sz w:val="20"/>
        </w:rPr>
        <w:t>There is no cruise data below about 5.3 kt, only the idle anchor, so the bottom of the operating range is carried by the curve rather than by measurement.</w:t>
      </w:r>
    </w:p>
    <w:p>
      <w:pPr>
        <w:pStyle w:val="ListBullet"/>
        <w:spacing w:after="60"/>
      </w:pPr>
      <w:r>
        <w:rPr>
          <w:rFonts w:ascii="Arial" w:hAnsi="Arial"/>
          <w:b/>
          <w:sz w:val="20"/>
        </w:rPr>
        <w:t xml:space="preserve">Repeat the speed trials over reciprocal headings. </w:t>
      </w:r>
      <w:r>
        <w:rPr>
          <w:rFonts w:ascii="Arial" w:hAnsi="Arial"/>
          <w:sz w:val="20"/>
        </w:rPr>
        <w:t>The speed law is SOG-based and carries the tide with it. Reciprocal pairs would strip it out and sharpen every derived range figure.</w:t>
      </w:r>
    </w:p>
    <w:p>
      <w:pPr>
        <w:pStyle w:val="Heading1"/>
      </w:pPr>
      <w:r>
        <w:t>Appendix A  —  Coefficient reference</w:t>
      </w:r>
    </w:p>
    <w:p>
      <w:pPr>
        <w:spacing w:after="120"/>
      </w:pPr>
      <w:r>
        <w:rPr>
          <w:rFonts w:ascii="Arial" w:hAnsi="Arial"/>
          <w:b w:val="0"/>
          <w:i w:val="0"/>
          <w:sz w:val="20"/>
        </w:rPr>
        <w:t>All values as they stand in model.json v2.8.0, which the planning tool consumes directly. Full precision is given for that reason. This table is generated from the model file, so it cannot drift from it.</w:t>
      </w:r>
    </w:p>
    <w:tbl>
      <w:tblPr>
        <w:tblW w:type="auto" w:w="0"/>
        <w:jc w:val="center"/>
        <w:tblLayout w:type="fixed"/>
        <w:tblLook w:firstColumn="1" w:firstRow="1" w:lastColumn="0" w:lastRow="0" w:noHBand="0" w:noVBand="1" w:val="04A0"/>
      </w:tblPr>
      <w:tblGrid>
        <w:gridCol w:w="3120"/>
        <w:gridCol w:w="3120"/>
        <w:gridCol w:w="3120"/>
      </w:tblGrid>
      <w:tr>
        <w:tc>
          <w:tcPr>
            <w:tcW w:type="dxa" w:w="1296"/>
            <w:shd w:val="clear" w:color="auto" w:fill="1F3B60"/>
          </w:tcPr>
          <w:p>
            <w:pPr>
              <w:spacing w:after="40"/>
            </w:pPr>
            <w:r/>
            <w:r>
              <w:rPr>
                <w:rFonts w:ascii="Arial" w:hAnsi="Arial"/>
                <w:b/>
                <w:color w:val="FFFFFF"/>
                <w:sz w:val="17"/>
              </w:rPr>
              <w:t>Symbol</w:t>
            </w:r>
          </w:p>
        </w:tc>
        <w:tc>
          <w:tcPr>
            <w:tcW w:type="dxa" w:w="3312"/>
            <w:shd w:val="clear" w:color="auto" w:fill="1F3B60"/>
          </w:tcPr>
          <w:p>
            <w:pPr>
              <w:spacing w:after="40"/>
            </w:pPr>
            <w:r/>
            <w:r>
              <w:rPr>
                <w:rFonts w:ascii="Arial" w:hAnsi="Arial"/>
                <w:b/>
                <w:color w:val="FFFFFF"/>
                <w:sz w:val="17"/>
              </w:rPr>
              <w:t>Value</w:t>
            </w:r>
          </w:p>
        </w:tc>
        <w:tc>
          <w:tcPr>
            <w:tcW w:type="dxa" w:w="4464"/>
            <w:shd w:val="clear" w:color="auto" w:fill="1F3B60"/>
          </w:tcPr>
          <w:p>
            <w:pPr>
              <w:spacing w:after="40"/>
            </w:pPr>
            <w:r/>
            <w:r>
              <w:rPr>
                <w:rFonts w:ascii="Arial" w:hAnsi="Arial"/>
                <w:b/>
                <w:color w:val="FFFFFF"/>
                <w:sz w:val="17"/>
              </w:rPr>
              <w:t>Meaning</w:t>
            </w:r>
          </w:p>
        </w:tc>
      </w:tr>
      <w:tr>
        <w:tc>
          <w:tcPr>
            <w:tcW w:type="dxa" w:w="1296"/>
          </w:tcPr>
          <w:p>
            <w:pPr>
              <w:spacing w:after="40"/>
            </w:pPr>
            <w:r/>
            <w:r>
              <w:rPr>
                <w:rFonts w:ascii="Arial" w:hAnsi="Arial"/>
                <w:sz w:val="17"/>
              </w:rPr>
              <w:t>f₀</w:t>
            </w:r>
          </w:p>
        </w:tc>
        <w:tc>
          <w:tcPr>
            <w:tcW w:type="dxa" w:w="3312"/>
          </w:tcPr>
          <w:p>
            <w:pPr>
              <w:spacing w:after="40"/>
            </w:pPr>
            <w:r/>
            <w:r>
              <w:rPr>
                <w:rFonts w:ascii="Arial" w:hAnsi="Arial"/>
                <w:sz w:val="17"/>
              </w:rPr>
              <w:t>-1.776135570982529</w:t>
            </w:r>
          </w:p>
        </w:tc>
        <w:tc>
          <w:tcPr>
            <w:tcW w:type="dxa" w:w="4464"/>
          </w:tcPr>
          <w:p>
            <w:pPr>
              <w:spacing w:after="40"/>
            </w:pPr>
            <w:r/>
            <w:r>
              <w:rPr>
                <w:rFonts w:ascii="Arial" w:hAnsi="Arial"/>
                <w:sz w:val="17"/>
              </w:rPr>
              <w:t>EM712 fuel-vs-RPM intercept (L/h)</w:t>
            </w:r>
          </w:p>
        </w:tc>
      </w:tr>
      <w:tr>
        <w:tc>
          <w:tcPr>
            <w:tcW w:type="dxa" w:w="1296"/>
            <w:shd w:val="clear" w:color="auto" w:fill="F2F5F8"/>
          </w:tcPr>
          <w:p>
            <w:pPr>
              <w:spacing w:after="40"/>
            </w:pPr>
            <w:r/>
            <w:r>
              <w:rPr>
                <w:rFonts w:ascii="Arial" w:hAnsi="Arial"/>
                <w:sz w:val="17"/>
              </w:rPr>
              <w:t>f₁</w:t>
            </w:r>
          </w:p>
        </w:tc>
        <w:tc>
          <w:tcPr>
            <w:tcW w:type="dxa" w:w="3312"/>
            <w:shd w:val="clear" w:color="auto" w:fill="F2F5F8"/>
          </w:tcPr>
          <w:p>
            <w:pPr>
              <w:spacing w:after="40"/>
            </w:pPr>
            <w:r/>
            <w:r>
              <w:rPr>
                <w:rFonts w:ascii="Arial" w:hAnsi="Arial"/>
                <w:sz w:val="17"/>
              </w:rPr>
              <w:t>0.00249494286853119</w:t>
            </w:r>
          </w:p>
        </w:tc>
        <w:tc>
          <w:tcPr>
            <w:tcW w:type="dxa" w:w="4464"/>
            <w:shd w:val="clear" w:color="auto" w:fill="F2F5F8"/>
          </w:tcPr>
          <w:p>
            <w:pPr>
              <w:spacing w:after="40"/>
            </w:pPr>
            <w:r/>
            <w:r>
              <w:rPr>
                <w:rFonts w:ascii="Arial" w:hAnsi="Arial"/>
                <w:sz w:val="17"/>
              </w:rPr>
              <w:t>EM712 fuel-vs-RPM slope (L/h per rpm)</w:t>
            </w:r>
          </w:p>
        </w:tc>
      </w:tr>
      <w:tr>
        <w:tc>
          <w:tcPr>
            <w:tcW w:type="dxa" w:w="1296"/>
          </w:tcPr>
          <w:p>
            <w:pPr>
              <w:spacing w:after="40"/>
            </w:pPr>
            <w:r/>
            <w:r>
              <w:rPr>
                <w:rFonts w:ascii="Arial" w:hAnsi="Arial"/>
                <w:sz w:val="17"/>
              </w:rPr>
              <w:t>c₀</w:t>
            </w:r>
          </w:p>
        </w:tc>
        <w:tc>
          <w:tcPr>
            <w:tcW w:type="dxa" w:w="3312"/>
          </w:tcPr>
          <w:p>
            <w:pPr>
              <w:spacing w:after="40"/>
            </w:pPr>
            <w:r/>
            <w:r>
              <w:rPr>
                <w:rFonts w:ascii="Arial" w:hAnsi="Arial"/>
                <w:sz w:val="17"/>
              </w:rPr>
              <w:t>0.6765707722148881</w:t>
            </w:r>
          </w:p>
        </w:tc>
        <w:tc>
          <w:tcPr>
            <w:tcW w:type="dxa" w:w="4464"/>
          </w:tcPr>
          <w:p>
            <w:pPr>
              <w:spacing w:after="40"/>
            </w:pPr>
            <w:r/>
            <w:r>
              <w:rPr>
                <w:rFonts w:ascii="Arial" w:hAnsi="Arial"/>
                <w:sz w:val="17"/>
              </w:rPr>
              <w:t>Cubic standing load (L/h)</w:t>
            </w:r>
          </w:p>
        </w:tc>
      </w:tr>
      <w:tr>
        <w:tc>
          <w:tcPr>
            <w:tcW w:type="dxa" w:w="1296"/>
            <w:shd w:val="clear" w:color="auto" w:fill="F2F5F8"/>
          </w:tcPr>
          <w:p>
            <w:pPr>
              <w:spacing w:after="40"/>
            </w:pPr>
            <w:r/>
            <w:r>
              <w:rPr>
                <w:rFonts w:ascii="Arial" w:hAnsi="Arial"/>
                <w:sz w:val="17"/>
              </w:rPr>
              <w:t>c₃</w:t>
            </w:r>
          </w:p>
        </w:tc>
        <w:tc>
          <w:tcPr>
            <w:tcW w:type="dxa" w:w="3312"/>
            <w:shd w:val="clear" w:color="auto" w:fill="F2F5F8"/>
          </w:tcPr>
          <w:p>
            <w:pPr>
              <w:spacing w:after="40"/>
            </w:pPr>
            <w:r/>
            <w:r>
              <w:rPr>
                <w:rFonts w:ascii="Arial" w:hAnsi="Arial"/>
                <w:sz w:val="17"/>
              </w:rPr>
              <w:t>0.007869592967855945</w:t>
            </w:r>
          </w:p>
        </w:tc>
        <w:tc>
          <w:tcPr>
            <w:tcW w:type="dxa" w:w="4464"/>
            <w:shd w:val="clear" w:color="auto" w:fill="F2F5F8"/>
          </w:tcPr>
          <w:p>
            <w:pPr>
              <w:spacing w:after="40"/>
            </w:pPr>
            <w:r/>
            <w:r>
              <w:rPr>
                <w:rFonts w:ascii="Arial" w:hAnsi="Arial"/>
                <w:sz w:val="17"/>
              </w:rPr>
              <w:t>Cubic drag coefficient</w:t>
            </w:r>
          </w:p>
        </w:tc>
      </w:tr>
      <w:tr>
        <w:tc>
          <w:tcPr>
            <w:tcW w:type="dxa" w:w="1296"/>
          </w:tcPr>
          <w:p>
            <w:pPr>
              <w:spacing w:after="40"/>
            </w:pPr>
            <w:r/>
            <w:r>
              <w:rPr>
                <w:rFonts w:ascii="Arial" w:hAnsi="Arial"/>
                <w:sz w:val="17"/>
              </w:rPr>
              <w:t>m₂₄</w:t>
            </w:r>
          </w:p>
        </w:tc>
        <w:tc>
          <w:tcPr>
            <w:tcW w:type="dxa" w:w="3312"/>
          </w:tcPr>
          <w:p>
            <w:pPr>
              <w:spacing w:after="40"/>
            </w:pPr>
            <w:r/>
            <w:r>
              <w:rPr>
                <w:rFonts w:ascii="Arial" w:hAnsi="Arial"/>
                <w:sz w:val="17"/>
              </w:rPr>
              <w:t>0.002624078300081477</w:t>
            </w:r>
          </w:p>
        </w:tc>
        <w:tc>
          <w:tcPr>
            <w:tcW w:type="dxa" w:w="4464"/>
          </w:tcPr>
          <w:p>
            <w:pPr>
              <w:spacing w:after="40"/>
            </w:pPr>
            <w:r/>
            <w:r>
              <w:rPr>
                <w:rFonts w:ascii="Arial" w:hAnsi="Arial"/>
                <w:sz w:val="17"/>
              </w:rPr>
              <w:t>2024 EM712 speed-vs-RPM slope (kt per rpm)</w:t>
            </w:r>
          </w:p>
        </w:tc>
      </w:tr>
      <w:tr>
        <w:tc>
          <w:tcPr>
            <w:tcW w:type="dxa" w:w="1296"/>
            <w:shd w:val="clear" w:color="auto" w:fill="F2F5F8"/>
          </w:tcPr>
          <w:p>
            <w:pPr>
              <w:spacing w:after="40"/>
            </w:pPr>
            <w:r/>
            <w:r>
              <w:rPr>
                <w:rFonts w:ascii="Arial" w:hAnsi="Arial"/>
                <w:sz w:val="17"/>
              </w:rPr>
              <w:t>b₂₄</w:t>
            </w:r>
          </w:p>
        </w:tc>
        <w:tc>
          <w:tcPr>
            <w:tcW w:type="dxa" w:w="3312"/>
            <w:shd w:val="clear" w:color="auto" w:fill="F2F5F8"/>
          </w:tcPr>
          <w:p>
            <w:pPr>
              <w:spacing w:after="40"/>
            </w:pPr>
            <w:r/>
            <w:r>
              <w:rPr>
                <w:rFonts w:ascii="Arial" w:hAnsi="Arial"/>
                <w:sz w:val="17"/>
              </w:rPr>
              <w:t>1.134781013213876</w:t>
            </w:r>
          </w:p>
        </w:tc>
        <w:tc>
          <w:tcPr>
            <w:tcW w:type="dxa" w:w="4464"/>
            <w:shd w:val="clear" w:color="auto" w:fill="F2F5F8"/>
          </w:tcPr>
          <w:p>
            <w:pPr>
              <w:spacing w:after="40"/>
            </w:pPr>
            <w:r/>
            <w:r>
              <w:rPr>
                <w:rFonts w:ascii="Arial" w:hAnsi="Arial"/>
                <w:sz w:val="17"/>
              </w:rPr>
              <w:t>2024 EM712 speed-vs-RPM intercept (kt)</w:t>
            </w:r>
          </w:p>
        </w:tc>
      </w:tr>
      <w:tr>
        <w:tc>
          <w:tcPr>
            <w:tcW w:type="dxa" w:w="1296"/>
          </w:tcPr>
          <w:p>
            <w:pPr>
              <w:spacing w:after="40"/>
            </w:pPr>
            <w:r/>
            <w:r>
              <w:rPr>
                <w:rFonts w:ascii="Arial" w:hAnsi="Arial"/>
                <w:sz w:val="17"/>
              </w:rPr>
              <w:t>m₂₂</w:t>
            </w:r>
          </w:p>
        </w:tc>
        <w:tc>
          <w:tcPr>
            <w:tcW w:type="dxa" w:w="3312"/>
          </w:tcPr>
          <w:p>
            <w:pPr>
              <w:spacing w:after="40"/>
            </w:pPr>
            <w:r/>
            <w:r>
              <w:rPr>
                <w:rFonts w:ascii="Arial" w:hAnsi="Arial"/>
                <w:sz w:val="17"/>
              </w:rPr>
              <w:t>0.004033265611920235</w:t>
            </w:r>
          </w:p>
        </w:tc>
        <w:tc>
          <w:tcPr>
            <w:tcW w:type="dxa" w:w="4464"/>
          </w:tcPr>
          <w:p>
            <w:pPr>
              <w:spacing w:after="40"/>
            </w:pPr>
            <w:r/>
            <w:r>
              <w:rPr>
                <w:rFonts w:ascii="Arial" w:hAnsi="Arial"/>
                <w:sz w:val="17"/>
              </w:rPr>
              <w:t>2022 EM2040 speed-vs-RPM slope</w:t>
            </w:r>
          </w:p>
        </w:tc>
      </w:tr>
      <w:tr>
        <w:tc>
          <w:tcPr>
            <w:tcW w:type="dxa" w:w="1296"/>
            <w:shd w:val="clear" w:color="auto" w:fill="F2F5F8"/>
          </w:tcPr>
          <w:p>
            <w:pPr>
              <w:spacing w:after="40"/>
            </w:pPr>
            <w:r/>
            <w:r>
              <w:rPr>
                <w:rFonts w:ascii="Arial" w:hAnsi="Arial"/>
                <w:sz w:val="17"/>
              </w:rPr>
              <w:t>b₂₂</w:t>
            </w:r>
          </w:p>
        </w:tc>
        <w:tc>
          <w:tcPr>
            <w:tcW w:type="dxa" w:w="3312"/>
            <w:shd w:val="clear" w:color="auto" w:fill="F2F5F8"/>
          </w:tcPr>
          <w:p>
            <w:pPr>
              <w:spacing w:after="40"/>
            </w:pPr>
            <w:r/>
            <w:r>
              <w:rPr>
                <w:rFonts w:ascii="Arial" w:hAnsi="Arial"/>
                <w:sz w:val="17"/>
              </w:rPr>
              <w:t>-0.04343717952015602</w:t>
            </w:r>
          </w:p>
        </w:tc>
        <w:tc>
          <w:tcPr>
            <w:tcW w:type="dxa" w:w="4464"/>
            <w:shd w:val="clear" w:color="auto" w:fill="F2F5F8"/>
          </w:tcPr>
          <w:p>
            <w:pPr>
              <w:spacing w:after="40"/>
            </w:pPr>
            <w:r/>
            <w:r>
              <w:rPr>
                <w:rFonts w:ascii="Arial" w:hAnsi="Arial"/>
                <w:sz w:val="17"/>
              </w:rPr>
              <w:t>2022 EM2040 speed-vs-RPM intercept</w:t>
            </w:r>
          </w:p>
        </w:tc>
      </w:tr>
      <w:tr>
        <w:tc>
          <w:tcPr>
            <w:tcW w:type="dxa" w:w="1296"/>
          </w:tcPr>
          <w:p>
            <w:pPr>
              <w:spacing w:after="40"/>
            </w:pPr>
            <w:r/>
            <w:r>
              <w:rPr>
                <w:rFonts w:ascii="Arial" w:hAnsi="Arial"/>
                <w:sz w:val="17"/>
              </w:rPr>
              <w:t>A</w:t>
            </w:r>
          </w:p>
        </w:tc>
        <w:tc>
          <w:tcPr>
            <w:tcW w:type="dxa" w:w="3312"/>
          </w:tcPr>
          <w:p>
            <w:pPr>
              <w:spacing w:after="40"/>
            </w:pPr>
            <w:r/>
            <w:r>
              <w:rPr>
                <w:rFonts w:ascii="Arial" w:hAnsi="Arial"/>
                <w:sz w:val="17"/>
              </w:rPr>
              <w:t>0.06913210895349385</w:t>
            </w:r>
          </w:p>
        </w:tc>
        <w:tc>
          <w:tcPr>
            <w:tcW w:type="dxa" w:w="4464"/>
          </w:tcPr>
          <w:p>
            <w:pPr>
              <w:spacing w:after="40"/>
            </w:pPr>
            <w:r/>
            <w:r>
              <w:rPr>
                <w:rFonts w:ascii="Arial" w:hAnsi="Arial"/>
                <w:sz w:val="17"/>
              </w:rPr>
              <w:t>Heading-effect amplitude</w:t>
            </w:r>
          </w:p>
        </w:tc>
      </w:tr>
      <w:tr>
        <w:tc>
          <w:tcPr>
            <w:tcW w:type="dxa" w:w="1296"/>
            <w:shd w:val="clear" w:color="auto" w:fill="F2F5F8"/>
          </w:tcPr>
          <w:p>
            <w:pPr>
              <w:spacing w:after="40"/>
            </w:pPr>
            <w:r/>
            <w:r>
              <w:rPr>
                <w:rFonts w:ascii="Arial" w:hAnsi="Arial"/>
                <w:sz w:val="17"/>
              </w:rPr>
              <w:t>q₀</w:t>
            </w:r>
          </w:p>
        </w:tc>
        <w:tc>
          <w:tcPr>
            <w:tcW w:type="dxa" w:w="3312"/>
            <w:shd w:val="clear" w:color="auto" w:fill="F2F5F8"/>
          </w:tcPr>
          <w:p>
            <w:pPr>
              <w:spacing w:after="40"/>
            </w:pPr>
            <w:r/>
            <w:r>
              <w:rPr>
                <w:rFonts w:ascii="Arial" w:hAnsi="Arial"/>
                <w:sz w:val="17"/>
              </w:rPr>
              <w:t>3.113455960636534</w:t>
            </w:r>
          </w:p>
        </w:tc>
        <w:tc>
          <w:tcPr>
            <w:tcW w:type="dxa" w:w="4464"/>
            <w:shd w:val="clear" w:color="auto" w:fill="F2F5F8"/>
          </w:tcPr>
          <w:p>
            <w:pPr>
              <w:spacing w:after="40"/>
            </w:pPr>
            <w:r/>
            <w:r>
              <w:rPr>
                <w:rFonts w:ascii="Arial" w:hAnsi="Arial"/>
                <w:sz w:val="17"/>
              </w:rPr>
              <w:t>EM2040 measured fuel law, constant (L/h)</w:t>
            </w:r>
          </w:p>
        </w:tc>
      </w:tr>
      <w:tr>
        <w:tc>
          <w:tcPr>
            <w:tcW w:type="dxa" w:w="1296"/>
          </w:tcPr>
          <w:p>
            <w:pPr>
              <w:spacing w:after="40"/>
            </w:pPr>
            <w:r/>
            <w:r>
              <w:rPr>
                <w:rFonts w:ascii="Arial" w:hAnsi="Arial"/>
                <w:sz w:val="17"/>
              </w:rPr>
              <w:t>q₁</w:t>
            </w:r>
          </w:p>
        </w:tc>
        <w:tc>
          <w:tcPr>
            <w:tcW w:type="dxa" w:w="3312"/>
          </w:tcPr>
          <w:p>
            <w:pPr>
              <w:spacing w:after="40"/>
            </w:pPr>
            <w:r/>
            <w:r>
              <w:rPr>
                <w:rFonts w:ascii="Arial" w:hAnsi="Arial"/>
                <w:sz w:val="17"/>
              </w:rPr>
              <w:t>-0.002920141434656371</w:t>
            </w:r>
          </w:p>
        </w:tc>
        <w:tc>
          <w:tcPr>
            <w:tcW w:type="dxa" w:w="4464"/>
          </w:tcPr>
          <w:p>
            <w:pPr>
              <w:spacing w:after="40"/>
            </w:pPr>
            <w:r/>
            <w:r>
              <w:rPr>
                <w:rFonts w:ascii="Arial" w:hAnsi="Arial"/>
                <w:sz w:val="17"/>
              </w:rPr>
              <w:t>EM2040 measured fuel law, linear term</w:t>
            </w:r>
          </w:p>
        </w:tc>
      </w:tr>
      <w:tr>
        <w:tc>
          <w:tcPr>
            <w:tcW w:type="dxa" w:w="1296"/>
            <w:shd w:val="clear" w:color="auto" w:fill="F2F5F8"/>
          </w:tcPr>
          <w:p>
            <w:pPr>
              <w:spacing w:after="40"/>
            </w:pPr>
            <w:r/>
            <w:r>
              <w:rPr>
                <w:rFonts w:ascii="Arial" w:hAnsi="Arial"/>
                <w:sz w:val="17"/>
              </w:rPr>
              <w:t>q₂</w:t>
            </w:r>
          </w:p>
        </w:tc>
        <w:tc>
          <w:tcPr>
            <w:tcW w:type="dxa" w:w="3312"/>
            <w:shd w:val="clear" w:color="auto" w:fill="F2F5F8"/>
          </w:tcPr>
          <w:p>
            <w:pPr>
              <w:spacing w:after="40"/>
            </w:pPr>
            <w:r/>
            <w:r>
              <w:rPr>
                <w:rFonts w:ascii="Arial" w:hAnsi="Arial"/>
                <w:sz w:val="17"/>
              </w:rPr>
              <w:t>1.3960663180683033e-06</w:t>
            </w:r>
          </w:p>
        </w:tc>
        <w:tc>
          <w:tcPr>
            <w:tcW w:type="dxa" w:w="4464"/>
            <w:shd w:val="clear" w:color="auto" w:fill="F2F5F8"/>
          </w:tcPr>
          <w:p>
            <w:pPr>
              <w:spacing w:after="40"/>
            </w:pPr>
            <w:r/>
            <w:r>
              <w:rPr>
                <w:rFonts w:ascii="Arial" w:hAnsi="Arial"/>
                <w:sz w:val="17"/>
              </w:rPr>
              <w:t>EM2040 measured fuel law, quadratic term</w:t>
            </w:r>
          </w:p>
        </w:tc>
      </w:tr>
      <w:tr>
        <w:tc>
          <w:tcPr>
            <w:tcW w:type="dxa" w:w="1296"/>
          </w:tcPr>
          <w:p>
            <w:pPr>
              <w:spacing w:after="40"/>
            </w:pPr>
            <w:r/>
            <w:r>
              <w:rPr>
                <w:rFonts w:ascii="Arial" w:hAnsi="Arial"/>
                <w:sz w:val="17"/>
              </w:rPr>
              <w:t>b₄₀</w:t>
            </w:r>
          </w:p>
        </w:tc>
        <w:tc>
          <w:tcPr>
            <w:tcW w:type="dxa" w:w="3312"/>
          </w:tcPr>
          <w:p>
            <w:pPr>
              <w:spacing w:after="40"/>
            </w:pPr>
            <w:r/>
            <w:r>
              <w:rPr>
                <w:rFonts w:ascii="Arial" w:hAnsi="Arial"/>
                <w:sz w:val="17"/>
              </w:rPr>
              <w:t>-0.4379785211023674</w:t>
            </w:r>
          </w:p>
        </w:tc>
        <w:tc>
          <w:tcPr>
            <w:tcW w:type="dxa" w:w="4464"/>
          </w:tcPr>
          <w:p>
            <w:pPr>
              <w:spacing w:after="40"/>
            </w:pPr>
            <w:r/>
            <w:r>
              <w:rPr>
                <w:rFonts w:ascii="Arial" w:hAnsi="Arial"/>
                <w:sz w:val="17"/>
              </w:rPr>
              <w:t>EM2040 measured speed-law intercept (kt)</w:t>
            </w:r>
          </w:p>
        </w:tc>
      </w:tr>
      <w:tr>
        <w:tc>
          <w:tcPr>
            <w:tcW w:type="dxa" w:w="1296"/>
            <w:shd w:val="clear" w:color="auto" w:fill="F2F5F8"/>
          </w:tcPr>
          <w:p>
            <w:pPr>
              <w:spacing w:after="40"/>
            </w:pPr>
            <w:r/>
            <w:r>
              <w:rPr>
                <w:rFonts w:ascii="Arial" w:hAnsi="Arial"/>
                <w:sz w:val="17"/>
              </w:rPr>
              <w:t>m₄₀</w:t>
            </w:r>
          </w:p>
        </w:tc>
        <w:tc>
          <w:tcPr>
            <w:tcW w:type="dxa" w:w="3312"/>
            <w:shd w:val="clear" w:color="auto" w:fill="F2F5F8"/>
          </w:tcPr>
          <w:p>
            <w:pPr>
              <w:spacing w:after="40"/>
            </w:pPr>
            <w:r/>
            <w:r>
              <w:rPr>
                <w:rFonts w:ascii="Arial" w:hAnsi="Arial"/>
                <w:sz w:val="17"/>
              </w:rPr>
              <w:t>0.003909372453612787</w:t>
            </w:r>
          </w:p>
        </w:tc>
        <w:tc>
          <w:tcPr>
            <w:tcW w:type="dxa" w:w="4464"/>
            <w:shd w:val="clear" w:color="auto" w:fill="F2F5F8"/>
          </w:tcPr>
          <w:p>
            <w:pPr>
              <w:spacing w:after="40"/>
            </w:pPr>
            <w:r/>
            <w:r>
              <w:rPr>
                <w:rFonts w:ascii="Arial" w:hAnsi="Arial"/>
                <w:sz w:val="17"/>
              </w:rPr>
              <w:t>EM2040 measured speed-law slope (kt per rpm)</w:t>
            </w:r>
          </w:p>
        </w:tc>
      </w:tr>
      <w:tr>
        <w:tc>
          <w:tcPr>
            <w:tcW w:type="dxa" w:w="1296"/>
          </w:tcPr>
          <w:p>
            <w:pPr>
              <w:spacing w:after="40"/>
            </w:pPr>
            <w:r/>
            <w:r>
              <w:rPr>
                <w:rFonts w:ascii="Arial" w:hAnsi="Arial"/>
                <w:sz w:val="17"/>
              </w:rPr>
              <w:t>L/pt</w:t>
            </w:r>
          </w:p>
        </w:tc>
        <w:tc>
          <w:tcPr>
            <w:tcW w:type="dxa" w:w="3312"/>
          </w:tcPr>
          <w:p>
            <w:pPr>
              <w:spacing w:after="40"/>
            </w:pPr>
            <w:r/>
            <w:r>
              <w:rPr>
                <w:rFonts w:ascii="Arial" w:hAnsi="Arial"/>
                <w:sz w:val="17"/>
              </w:rPr>
              <w:t>2.06</w:t>
            </w:r>
          </w:p>
        </w:tc>
        <w:tc>
          <w:tcPr>
            <w:tcW w:type="dxa" w:w="4464"/>
          </w:tcPr>
          <w:p>
            <w:pPr>
              <w:spacing w:after="40"/>
            </w:pPr>
            <w:r/>
            <w:r>
              <w:rPr>
                <w:rFonts w:ascii="Arial" w:hAnsi="Arial"/>
                <w:sz w:val="17"/>
              </w:rPr>
              <w:t>Measured gauge scale (litres per indicated point)</w:t>
            </w:r>
          </w:p>
        </w:tc>
      </w:tr>
      <w:tr>
        <w:tc>
          <w:tcPr>
            <w:tcW w:type="dxa" w:w="1296"/>
            <w:shd w:val="clear" w:color="auto" w:fill="F2F5F8"/>
          </w:tcPr>
          <w:p>
            <w:pPr>
              <w:spacing w:after="40"/>
            </w:pPr>
            <w:r/>
            <w:r>
              <w:rPr>
                <w:rFonts w:ascii="Arial" w:hAnsi="Arial"/>
                <w:sz w:val="17"/>
              </w:rPr>
              <w:t>σ(L/pt)</w:t>
            </w:r>
          </w:p>
        </w:tc>
        <w:tc>
          <w:tcPr>
            <w:tcW w:type="dxa" w:w="3312"/>
            <w:shd w:val="clear" w:color="auto" w:fill="F2F5F8"/>
          </w:tcPr>
          <w:p>
            <w:pPr>
              <w:spacing w:after="40"/>
            </w:pPr>
            <w:r/>
            <w:r>
              <w:rPr>
                <w:rFonts w:ascii="Arial" w:hAnsi="Arial"/>
                <w:sz w:val="17"/>
              </w:rPr>
              <w:t>0.11</w:t>
            </w:r>
          </w:p>
        </w:tc>
        <w:tc>
          <w:tcPr>
            <w:tcW w:type="dxa" w:w="4464"/>
            <w:shd w:val="clear" w:color="auto" w:fill="F2F5F8"/>
          </w:tcPr>
          <w:p>
            <w:pPr>
              <w:spacing w:after="40"/>
            </w:pPr>
            <w:r/>
            <w:r>
              <w:rPr>
                <w:rFonts w:ascii="Arial" w:hAnsi="Arial"/>
                <w:sz w:val="17"/>
              </w:rPr>
              <w:t>One standard deviation on the gauge scale</w:t>
            </w:r>
          </w:p>
        </w:tc>
      </w:tr>
      <w:tr>
        <w:tc>
          <w:tcPr>
            <w:tcW w:type="dxa" w:w="1296"/>
          </w:tcPr>
          <w:p>
            <w:pPr>
              <w:spacing w:after="40"/>
            </w:pPr>
            <w:r/>
            <w:r>
              <w:rPr>
                <w:rFonts w:ascii="Arial" w:hAnsi="Arial"/>
                <w:sz w:val="17"/>
              </w:rPr>
              <w:t>—</w:t>
            </w:r>
          </w:p>
        </w:tc>
        <w:tc>
          <w:tcPr>
            <w:tcW w:type="dxa" w:w="3312"/>
          </w:tcPr>
          <w:p>
            <w:pPr>
              <w:spacing w:after="40"/>
            </w:pPr>
            <w:r/>
            <w:r>
              <w:rPr>
                <w:rFonts w:ascii="Arial" w:hAnsi="Arial"/>
                <w:sz w:val="17"/>
              </w:rPr>
              <w:t>1020 – 2500</w:t>
            </w:r>
          </w:p>
        </w:tc>
        <w:tc>
          <w:tcPr>
            <w:tcW w:type="dxa" w:w="4464"/>
          </w:tcPr>
          <w:p>
            <w:pPr>
              <w:spacing w:after="40"/>
            </w:pPr>
            <w:r/>
            <w:r>
              <w:rPr>
                <w:rFonts w:ascii="Arial" w:hAnsi="Arial"/>
                <w:sz w:val="17"/>
              </w:rPr>
              <w:t>EM712 fuel-law validity window (rpm)</w:t>
            </w:r>
          </w:p>
        </w:tc>
      </w:tr>
      <w:tr>
        <w:tc>
          <w:tcPr>
            <w:tcW w:type="dxa" w:w="1296"/>
            <w:shd w:val="clear" w:color="auto" w:fill="F2F5F8"/>
          </w:tcPr>
          <w:p>
            <w:pPr>
              <w:spacing w:after="40"/>
            </w:pPr>
            <w:r/>
            <w:r>
              <w:rPr>
                <w:rFonts w:ascii="Arial" w:hAnsi="Arial"/>
                <w:sz w:val="17"/>
              </w:rPr>
              <w:t>—</w:t>
            </w:r>
          </w:p>
        </w:tc>
        <w:tc>
          <w:tcPr>
            <w:tcW w:type="dxa" w:w="3312"/>
            <w:shd w:val="clear" w:color="auto" w:fill="F2F5F8"/>
          </w:tcPr>
          <w:p>
            <w:pPr>
              <w:spacing w:after="40"/>
            </w:pPr>
            <w:r/>
            <w:r>
              <w:rPr>
                <w:rFonts w:ascii="Arial" w:hAnsi="Arial"/>
                <w:sz w:val="17"/>
              </w:rPr>
              <w:t>1280 – 3080</w:t>
            </w:r>
          </w:p>
        </w:tc>
        <w:tc>
          <w:tcPr>
            <w:tcW w:type="dxa" w:w="4464"/>
            <w:shd w:val="clear" w:color="auto" w:fill="F2F5F8"/>
          </w:tcPr>
          <w:p>
            <w:pPr>
              <w:spacing w:after="40"/>
            </w:pPr>
            <w:r/>
            <w:r>
              <w:rPr>
                <w:rFonts w:ascii="Arial" w:hAnsi="Arial"/>
                <w:sz w:val="17"/>
              </w:rPr>
              <w:t>EM2040 fuel-law validity window (rpm)</w:t>
            </w:r>
          </w:p>
        </w:tc>
      </w:tr>
      <w:tr>
        <w:tc>
          <w:tcPr>
            <w:tcW w:type="dxa" w:w="1296"/>
          </w:tcPr>
          <w:p>
            <w:pPr>
              <w:spacing w:after="40"/>
            </w:pPr>
            <w:r/>
            <w:r>
              <w:rPr>
                <w:rFonts w:ascii="Arial" w:hAnsi="Arial"/>
                <w:sz w:val="17"/>
              </w:rPr>
              <w:t>—</w:t>
            </w:r>
          </w:p>
        </w:tc>
        <w:tc>
          <w:tcPr>
            <w:tcW w:type="dxa" w:w="3312"/>
          </w:tcPr>
          <w:p>
            <w:pPr>
              <w:spacing w:after="40"/>
            </w:pPr>
            <w:r/>
            <w:r>
              <w:rPr>
                <w:rFonts w:ascii="Arial" w:hAnsi="Arial"/>
                <w:sz w:val="17"/>
              </w:rPr>
              <w:t>0.25</w:t>
            </w:r>
          </w:p>
        </w:tc>
        <w:tc>
          <w:tcPr>
            <w:tcW w:type="dxa" w:w="4464"/>
          </w:tcPr>
          <w:p>
            <w:pPr>
              <w:spacing w:after="40"/>
            </w:pPr>
            <w:r/>
            <w:r>
              <w:rPr>
                <w:rFonts w:ascii="Arial" w:hAnsi="Arial"/>
                <w:sz w:val="17"/>
              </w:rPr>
              <w:t>Reserve fraction (policy, indicated)</w:t>
            </w:r>
          </w:p>
        </w:tc>
      </w:tr>
    </w:tbl>
    <w:p>
      <w:pPr>
        <w:spacing w:after="200"/>
      </w:pPr>
      <w:r>
        <w:rPr>
          <w:rFonts w:ascii="Arial" w:hAnsi="Arial"/>
          <w:b w:val="0"/>
          <w:i/>
          <w:color w:val="5B6B7A"/>
          <w:sz w:val="16"/>
        </w:rPr>
        <w:t>Table A1 — Coefficient reference.</w:t>
      </w:r>
    </w:p>
    <w:p>
      <w:pPr>
        <w:pStyle w:val="Heading1"/>
      </w:pPr>
      <w:r>
        <w:t>Appendix B  —  Derivations</w:t>
      </w:r>
    </w:p>
    <w:p>
      <w:pPr>
        <w:pStyle w:val="Heading3"/>
      </w:pPr>
      <w:r>
        <w:t>B.1  Optimum speed</w:t>
      </w:r>
    </w:p>
    <w:p>
      <w:pPr>
        <w:spacing w:after="120"/>
      </w:pPr>
      <w:r>
        <w:rPr>
          <w:rFonts w:ascii="Arial" w:hAnsi="Arial"/>
          <w:b w:val="0"/>
          <w:i w:val="0"/>
          <w:sz w:val="20"/>
        </w:rPr>
        <w:t>Maximising E(V) = V / (c₀ + c₃V³). Using the quotient rule, the numerator of dE/dV is (c₀ + c₃V³)·1 − V·3c₃V², which simplifies to c₀ − 2c₃V³. Setting that to zero gives V_opt = (c₀/2c₃)^⅓. The denominator is strictly positive for V &gt; 0, so no spurious roots are introduced, and the second derivative is negative there, confirming a maximum.</w:t>
      </w:r>
    </w:p>
    <w:p>
      <w:pPr>
        <w:pStyle w:val="Heading3"/>
      </w:pPr>
      <w:r>
        <w:t>B.2  Implied capacity from a gauge window</w:t>
      </w:r>
    </w:p>
    <w:p>
      <w:pPr>
        <w:spacing w:after="120"/>
      </w:pPr>
      <w:r>
        <w:rPr>
          <w:rFonts w:ascii="Arial" w:hAnsi="Arial"/>
          <w:b w:val="0"/>
          <w:i w:val="0"/>
          <w:sz w:val="20"/>
        </w:rPr>
        <w:t>For a window consuming ΔP indicated points over H hours at mean speed V̄, with the flow-meter model predicting a rate L̇, the capacity at which gauge and flow meter agree is C = L̇ · H / ΔP × 100. Introducing an RPM premium p replaces L̇ with f₀ + f₁·RPM(V̄)·(1+p), which is the relationship plotted in Figure 10. It is linear in p because the fuel model is linear in RPM.</w:t>
      </w:r>
    </w:p>
    <w:p>
      <w:pPr>
        <w:pStyle w:val="Heading3"/>
      </w:pPr>
      <w:r>
        <w:t>B.3  Why the premium cancels on a survey but the fuel does not</w:t>
      </w:r>
    </w:p>
    <w:p>
      <w:pPr>
        <w:spacing w:after="120"/>
      </w:pPr>
      <w:r>
        <w:rPr>
          <w:rFonts w:ascii="Arial" w:hAnsi="Arial"/>
          <w:b w:val="0"/>
          <w:i w:val="0"/>
          <w:sz w:val="20"/>
        </w:rPr>
        <w:t>For reciprocal lines the two courses are θ and θ + 180°. Since cos(θ + 180°) = −cos(θ), the mean of the two heading PREMIUMS is exactly zero for any θ and any wind — not approximately, and independent of wind speed and the exponent. That is why a tailwind cannot be banked across a survey.</w:t>
      </w:r>
    </w:p>
    <w:p>
      <w:pPr>
        <w:spacing w:after="120"/>
      </w:pPr>
      <w:r>
        <w:rPr>
          <w:rFonts w:ascii="Arial" w:hAnsi="Arial"/>
          <w:b w:val="0"/>
          <w:i w:val="0"/>
          <w:sz w:val="20"/>
        </w:rPr>
        <w:t>The fuel does not cancel, because the law is convex. Writing R for the RPM at the sea-state premium and δ for the heading swing in RPM, the two lines burn f(R ± δ). For the measured quadratic f = q₀ + q₁·RPM + q₂·RPM², their mean is q₀ + q₁R + q₂(R² + δ²), so the excess over f(R) is exactly q₂δ² — strictly positive, and quadratic in the wind because δ is. Averaging the premium first discards it.</w:t>
      </w:r>
    </w:p>
    <w:p>
      <w:pPr>
        <w:spacing w:after="120"/>
      </w:pPr>
      <w:r>
        <w:rPr>
          <w:rFonts w:ascii="Arial" w:hAnsi="Arial"/>
          <w:b w:val="0"/>
          <w:i w:val="0"/>
          <w:sz w:val="20"/>
        </w:rPr>
        <w:t>On the EM2040 at survey speed that is about +0.9% at 12 kt, +7.1% at 20 kt and +17.2% at 25 kt. On the EM712, whose fuel law is affine in RPM, q₂ is zero and the penalty vanishes exactly — which is the cleanest available confirmation that the effect is curvature rather than an artefact of the calculation.</w:t>
      </w:r>
    </w:p>
    <w:p>
      <w:pPr>
        <w:spacing w:after="120"/>
      </w:pPr>
      <w:r>
        <w:rPr>
          <w:rFonts w:ascii="Arial" w:hAnsi="Arial"/>
          <w:b w:val="0"/>
          <w:i w:val="0"/>
          <w:sz w:val="20"/>
        </w:rPr>
        <w:t>An ODD number of lines cannot balance even in principle: one direction gets an extra line, so the mean premium is A·cos θ / N rather than zero. Three lines into a 20 kt wind cost about 21% more than the cancelled figure. The planner therefore takes a line count and a line length rather than a single distance.</w:t>
      </w:r>
    </w:p>
    <w:p>
      <w:pPr>
        <w:pStyle w:val="Heading3"/>
      </w:pPr>
      <w:r>
        <w:t>B.4  Why mission fuel does not depend on capacity</w:t>
      </w:r>
    </w:p>
    <w:p>
      <w:pPr>
        <w:spacing w:after="120"/>
      </w:pPr>
      <w:r>
        <w:rPr>
          <w:rFonts w:ascii="Arial" w:hAnsi="Arial"/>
          <w:b w:val="0"/>
          <w:i w:val="0"/>
          <w:sz w:val="20"/>
        </w:rPr>
        <w:t>The reserve policy fixes a needle position, not a volume. If the gauge reads linearly at λ litres per indicated point over the range flown, a mission starting at S indicated points and stopping at R may spend (S − R)·λ litres. Tank capacity C appears nowhere in that expression; it enters only if one insists on converting a percentage to litres via C/100, which is precisely the step the measurement of λ makes unnecessary. With S = 100, R = 25 and λ constant at 2.06, mission fuel is 154.5 L. Tank capacity C appears nowhere. Where λ varies — reading (A), where the drawings force the unmeasured points to 2.57 — the same argument holds with the sum replaced by an integral, giving 185.7 L. Either way the quantity is a property of the gauge, not of the tank.</w:t>
      </w:r>
    </w:p>
    <w:p>
      <w:pPr>
        <w:pStyle w:val="Heading1"/>
      </w:pPr>
      <w:r>
        <w:t>Appendix C  —  How this report is produced</w:t>
      </w:r>
    </w:p>
    <w:p>
      <w:pPr>
        <w:spacing w:after="120"/>
      </w:pPr>
      <w:r>
        <w:rPr>
          <w:rFonts w:ascii="Arial" w:hAnsi="Arial"/>
          <w:b w:val="0"/>
          <w:i w:val="0"/>
          <w:sz w:val="20"/>
        </w:rPr>
        <w:t>This document has no hand-written numbers. tools/build_report.py loads model.json and the MCAP fit output, recomputes every derived quantity, calls the planning engine for the planning tables, regenerates eleven of the twelve figures, and emits the document. Rebuild with:</w:t>
      </w:r>
    </w:p>
    <w:p>
      <w:pPr>
        <w:spacing w:before="80" w:after="40"/>
        <w:ind w:left="432"/>
      </w:pPr>
      <w:r>
        <w:rPr>
          <w:rFonts w:ascii="Consolas" w:hAnsi="Consolas"/>
          <w:b/>
          <w:sz w:val="19"/>
        </w:rPr>
        <w:t>python tools/build_report.py         [OUT.docx]</w:t>
        <w:br/>
        <w:t>powershell -File tools/export_pdf.ps1</w:t>
      </w:r>
    </w:p>
    <w:p>
      <w:pPr>
        <w:spacing w:after="160"/>
        <w:ind w:left="432"/>
      </w:pPr>
      <w:r>
        <w:rPr>
          <w:rFonts w:ascii="Arial" w:hAnsi="Arial"/>
          <w:i/>
          <w:color w:val="5B6B7A"/>
          <w:sz w:val="17"/>
        </w:rPr>
        <w:t>The PDF beside this document is a Word export of the same file, produced by the second step. Skip it and the PDF goes stale against the document it is named after, which is how a rebuilt report can still be read in its old form.</w:t>
      </w:r>
    </w:p>
    <w:p>
      <w:pPr>
        <w:pStyle w:val="ListBullet"/>
        <w:spacing w:after="60"/>
      </w:pPr>
      <w:r>
        <w:rPr>
          <w:rFonts w:ascii="Arial" w:hAnsi="Arial"/>
          <w:b/>
          <w:sz w:val="20"/>
        </w:rPr>
        <w:t xml:space="preserve">Source observations are inputs, not results. </w:t>
      </w:r>
      <w:r>
        <w:rPr>
          <w:rFonts w:ascii="Arial" w:hAnsi="Arial"/>
          <w:sz w:val="20"/>
        </w:rPr>
        <w:t>The 2024 trial steps, the four-heading test, the DD2024 refuel and the Exail ROE costs are transcribed measurements and are marked as such in the builder.</w:t>
      </w:r>
    </w:p>
    <w:p>
      <w:pPr>
        <w:pStyle w:val="ListBullet"/>
        <w:spacing w:after="60"/>
      </w:pPr>
      <w:r>
        <w:rPr>
          <w:rFonts w:ascii="Arial" w:hAnsi="Arial"/>
          <w:b/>
          <w:sz w:val="20"/>
        </w:rPr>
        <w:t xml:space="preserve">One dataset is missing from the repository. </w:t>
      </w:r>
      <w:r>
        <w:rPr>
          <w:rFonts w:ascii="Arial" w:hAnsi="Arial"/>
          <w:sz w:val="20"/>
        </w:rPr>
        <w:t>The 2022 per-observation log is not held here, so the §6–§7 aggregates are carried as constants and Figure 8 as a static asset. Everything else recomputes.</w:t>
      </w:r>
    </w:p>
    <w:p>
      <w:pPr>
        <w:pStyle w:val="ListBullet"/>
        <w:spacing w:after="60"/>
      </w:pPr>
      <w:r>
        <w:rPr>
          <w:rFonts w:ascii="Arial" w:hAnsi="Arial"/>
          <w:b/>
          <w:sz w:val="20"/>
        </w:rPr>
        <w:t xml:space="preserve">The companion documents share this property. </w:t>
      </w:r>
      <w:r>
        <w:rPr>
          <w:rFonts w:ascii="Arial" w:hAnsi="Arial"/>
          <w:sz w:val="20"/>
        </w:rPr>
        <w:t>The gauge-linearity report, the methods report and the endurance sheet are all generated from the same pipeline output, which is why the four agree.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6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Theme="majorHAnsi" w:eastAsiaTheme="majorEastAsia" w:hAnsiTheme="majorHAnsi" w:cstheme="majorBidi" w:ascii="Arial" w:hAnsi="Arial"/>
      <w:b/>
      <w:bCs/>
      <w:color w:val="1F3B6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00"/>
      <w:outlineLvl w:val="1"/>
    </w:pPr>
    <w:rPr>
      <w:rFonts w:asciiTheme="majorHAnsi" w:eastAsiaTheme="majorEastAsia" w:hAnsiTheme="majorHAnsi" w:cstheme="majorBidi" w:ascii="Arial" w:hAnsi="Arial"/>
      <w:b/>
      <w:bCs/>
      <w:color w:val="1F3B6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220" w:after="80"/>
      <w:outlineLvl w:val="2"/>
    </w:pPr>
    <w:rPr>
      <w:rFonts w:asciiTheme="majorHAnsi" w:eastAsiaTheme="majorEastAsia" w:hAnsiTheme="majorHAnsi" w:cstheme="majorBidi" w:ascii="Arial" w:hAnsi="Arial"/>
      <w:b/>
      <w:bCs/>
      <w:color w:val="1621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