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4"/>
        <w:pBdr/>
        <w:spacing/>
        <w:ind/>
        <w:rPr>
          <w:rFonts w:ascii="Arial" w:hAnsi="Arial" w:cs="Arial"/>
        </w:rPr>
      </w:pPr>
      <w:r>
        <w:rPr>
          <w:rFonts w:ascii="Arial" w:hAnsi="Arial" w:eastAsia="Arial" w:cs="Arial"/>
        </w:rPr>
      </w:r>
      <w:bookmarkStart w:id="40" w:name="Xb9a246847d6c0a3e728845221a97efd71177be2"/>
      <w:r>
        <w:rPr>
          <w:rFonts w:ascii="Arial" w:hAnsi="Arial" w:eastAsia="Arial" w:cs="Arial"/>
        </w:rPr>
        <w:t xml:space="preserve">Response to Ofgem Consultation: Long-Duration Electricity Storage Cap and Floor Framework</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b/>
          <w:bCs/>
        </w:rPr>
        <w:t xml:space="preserve">Submission Date:</w:t>
      </w:r>
      <w:r>
        <w:rPr>
          <w:rFonts w:ascii="Arial" w:hAnsi="Arial" w:eastAsia="Arial" w:cs="Arial"/>
        </w:rPr>
        <w:t xml:space="preserve"> </w:t>
      </w:r>
      <w:r>
        <w:rPr>
          <w:rFonts w:ascii="Arial" w:hAnsi="Arial" w:eastAsia="Arial" w:cs="Arial"/>
          <w:lang w:val="en-GB"/>
        </w:rPr>
        <w:t xml:space="preserve">6</w:t>
      </w:r>
      <w:r>
        <w:rPr>
          <w:rFonts w:ascii="Arial" w:hAnsi="Arial" w:eastAsia="Arial" w:cs="Arial"/>
        </w:rPr>
        <w:t xml:space="preserve"> July 2026</w:t>
      </w:r>
      <w:r>
        <w:rPr>
          <w:rFonts w:ascii="Arial" w:hAnsi="Arial" w:eastAsia="Arial" w:cs="Arial"/>
        </w:rPr>
        <w:br/>
      </w:r>
      <w:r>
        <w:rPr>
          <w:rFonts w:ascii="Arial" w:hAnsi="Arial" w:eastAsia="Arial" w:cs="Arial"/>
          <w:b/>
          <w:bCs/>
        </w:rPr>
        <w:t xml:space="preserve">Respondent:</w:t>
      </w:r>
      <w:r>
        <w:rPr>
          <w:rFonts w:ascii="Arial" w:hAnsi="Arial" w:eastAsia="Arial" w:cs="Arial"/>
        </w:rPr>
        <w:t xml:space="preserve"> </w:t>
      </w:r>
      <w:r>
        <w:rPr>
          <w:rFonts w:ascii="Arial" w:hAnsi="Arial" w:eastAsia="Arial" w:cs="Arial"/>
        </w:rPr>
        <w:t xml:space="preserve">Andy Moran, </w:t>
      </w:r>
      <w:r>
        <w:rPr>
          <w:rFonts w:ascii="Arial" w:hAnsi="Arial" w:eastAsia="Arial" w:cs="Arial"/>
          <w:lang w:val="en-GB"/>
        </w:rPr>
        <w:t xml:space="preserve">(</w:t>
      </w:r>
      <w:r>
        <w:rPr>
          <w:rFonts w:ascii="Arial" w:hAnsi="Arial" w:eastAsia="Arial" w:cs="Arial"/>
        </w:rPr>
        <w:t xml:space="preserve">Heaviside Analytics — Independent Researcher</w:t>
      </w:r>
      <w:r>
        <w:rPr>
          <w:rFonts w:ascii="Arial" w:hAnsi="Arial" w:eastAsia="Arial" w:cs="Arial"/>
          <w:lang w:val="en-GB"/>
        </w:rPr>
        <w:t xml:space="preserve">)</w:t>
      </w:r>
      <w:r>
        <w:rPr>
          <w:rFonts w:ascii="Arial" w:hAnsi="Arial" w:eastAsia="Arial" w:cs="Arial"/>
        </w:rPr>
        <w:br/>
      </w:r>
      <w:r>
        <w:rPr>
          <w:rFonts w:ascii="Arial" w:hAnsi="Arial" w:eastAsia="Arial" w:cs="Arial"/>
          <w:b/>
          <w:bCs/>
        </w:rPr>
        <w:t xml:space="preserve">Consultation Reference:</w:t>
      </w:r>
      <w:r>
        <w:rPr>
          <w:rFonts w:ascii="Arial" w:hAnsi="Arial" w:eastAsia="Arial" w:cs="Arial"/>
        </w:rPr>
        <w:t xml:space="preserve"> </w:t>
      </w:r>
      <w:r>
        <w:rPr>
          <w:rFonts w:ascii="Arial" w:hAnsi="Arial" w:eastAsia="Arial" w:cs="Arial"/>
        </w:rPr>
        <w:t xml:space="preserve">Long duration electricity storage window 1: minded-to decisions</w:t>
      </w:r>
      <w:r>
        <w:rPr>
          <w:rFonts w:ascii="Arial" w:hAnsi="Arial" w:cs="Arial"/>
        </w:rPr>
      </w:r>
      <w:r>
        <w:rPr>
          <w:rFonts w:ascii="Arial" w:hAnsi="Arial" w:cs="Arial"/>
        </w:rPr>
      </w:r>
    </w:p>
    <w:p>
      <w:pPr>
        <w:pBdr/>
        <w:spacing/>
        <w:ind/>
        <w:rPr>
          <w:rFonts w:ascii="Arial" w:hAnsi="Arial" w:cs="Arial"/>
        </w:rPr>
      </w:pPr>
      <w:r>
        <w:rPr>
          <w:rFonts w:ascii="Arial" w:hAnsi="Arial" w:eastAsia="Arial" w:cs="Arial"/>
        </w:rP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rPr>
      </w:r>
      <w:bookmarkStart w:id="20" w:name="introduction"/>
      <w:r>
        <w:rPr>
          <w:rFonts w:ascii="Arial" w:hAnsi="Arial" w:eastAsia="Arial" w:cs="Arial"/>
          <w:b/>
          <w:bCs/>
        </w:rPr>
        <w:t xml:space="preserve">1. Introduction</w:t>
      </w:r>
      <w:r>
        <w:rPr>
          <w:rFonts w:ascii="Arial" w:hAnsi="Arial" w:cs="Arial"/>
          <w:b/>
          <w:bCs/>
        </w:rPr>
      </w:r>
      <w:r>
        <w:rPr>
          <w:rFonts w:ascii="Arial" w:hAnsi="Arial" w:cs="Arial"/>
          <w:b/>
          <w:bCs/>
        </w:rPr>
      </w:r>
    </w:p>
    <w:p w14:paraId="2B70B35D">
      <w:pPr>
        <w:pBdr/>
        <w:spacing/>
        <w:ind/>
        <w:rPr/>
      </w:pPr>
      <w:r>
        <w:rPr>
          <w:rFonts w:ascii="Arial" w:hAnsi="Arial" w:cs="Arial"/>
          <w:highlight w:val="none"/>
        </w:rPr>
        <w:t xml:space="preserve">We welcome Ofgem’s consultation on the cap and floor framework for Long‑Duration Electricity Storage (LDES). The regime is a critical step toward mobilising capital for flexible, low‑carbon storage infrastructure. As part of this response, we built a projec</w:t>
      </w:r>
      <w:r>
        <w:rPr>
          <w:rFonts w:ascii="Arial" w:hAnsi="Arial" w:cs="Arial"/>
          <w:highlight w:val="none"/>
        </w:rPr>
        <w:t xml:space="preserve">t‑level financial model for all 16 assets in the Window 1 minded‑to portfolio.</w:t>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p>
    <w:p w14:paraId="18B8FD06">
      <w:pPr>
        <w:pBdr/>
        <w:spacing/>
        <w:ind/>
        <w:rPr/>
      </w:pPr>
      <w:r>
        <w:rPr>
          <w:rFonts w:ascii="Arial" w:hAnsi="Arial" w:cs="Arial"/>
          <w:highlight w:val="none"/>
        </w:rPr>
        <w:t xml:space="preserve">This submission is most relevant to Ofgem’s questions on assessment approach, portfolio calibration, and future application windows. Our aim is not to propose a floor price. It is to test how a calibration method built on common parameters performs when set</w:t>
      </w:r>
      <w:r>
        <w:rPr>
          <w:rFonts w:ascii="Arial" w:hAnsi="Arial" w:cs="Arial"/>
          <w:highlight w:val="none"/>
        </w:rPr>
        <w:t xml:space="preserve"> against the physical and geographic realities of the Window 1 pipeline.</w:t>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p>
    <w:p w14:paraId="656AA5D1">
      <w:pPr>
        <w:pBdr/>
        <w:spacing/>
        <w:ind/>
        <w:rPr>
          <w:rFonts w:ascii="Arial" w:hAnsi="Arial" w:cs="Arial"/>
        </w:rPr>
      </w:pPr>
      <w:r>
        <w:rPr>
          <w:rFonts w:ascii="Arial" w:hAnsi="Arial" w:cs="Arial"/>
          <w:highlight w:val="none"/>
        </w:rPr>
        <w:t xml:space="preserve">By modelling lifecycle costs, duration‑constrained wholesale dispatch, and local transmission‑constraint exposure, we identify three structural sensitivities that merit explicit consideration. LDES provides system‑wide benefits—such as inertia, voltage supp</w:t>
      </w:r>
      <w:r>
        <w:rPr>
          <w:rFonts w:ascii="Arial" w:hAnsi="Arial" w:cs="Arial"/>
          <w:highlight w:val="none"/>
        </w:rPr>
        <w:t xml:space="preserve">ort, and transmission deferral—that extend beyond wholesale arbitrage and Capacity Market revenues. Even when isolating the pure energy/capacity funding gap, the difference in modelled support between constrained and unconstrained assets is substantial. Dur</w:t>
      </w:r>
      <w:r>
        <w:rPr>
          <w:rFonts w:ascii="Arial" w:hAnsi="Arial" w:cs="Arial"/>
          <w:highlight w:val="none"/>
        </w:rPr>
        <w:t xml:space="preserve">ation, constraint exposure and technology‑specific lifecycle costs should therefore be explicit calibration variables within the cap and floor framework.</w:t>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p>
    <w:p>
      <w:pPr>
        <w:pBdr/>
        <w:spacing/>
        <w:ind/>
        <w:rPr>
          <w:rFonts w:ascii="Arial" w:hAnsi="Arial" w:cs="Arial"/>
          <w:highlight w:val="none"/>
        </w:rPr>
      </w:pPr>
      <w:r>
        <w:rPr>
          <w:rFonts w:ascii="Arial" w:hAnsi="Arial" w:eastAsia="Arial" w:cs="Arial"/>
        </w:rP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20"/>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rPr>
      </w:r>
      <w:bookmarkStart w:id="25" w:name="executive-summary"/>
      <w:r>
        <w:rPr>
          <w:rFonts w:ascii="Arial" w:hAnsi="Arial" w:eastAsia="Arial" w:cs="Arial"/>
          <w:b/>
          <w:bCs/>
        </w:rPr>
        <w:t xml:space="preserve">2. Executive Summary</w:t>
      </w:r>
      <w:r>
        <w:rPr>
          <w:rFonts w:ascii="Arial" w:hAnsi="Arial" w:cs="Arial"/>
          <w:b/>
          <w:bCs/>
        </w:rPr>
      </w:r>
      <w:r>
        <w:rPr>
          <w:rFonts w:ascii="Arial" w:hAnsi="Arial" w:cs="Arial"/>
          <w:b/>
          <w:bCs/>
        </w:rPr>
      </w:r>
    </w:p>
    <w:p w14:paraId="704F0A10">
      <w:pPr>
        <w:pStyle w:val="886"/>
        <w:pBdr/>
        <w:spacing/>
        <w:ind/>
        <w:rPr>
          <w:rFonts w:ascii="Arial" w:hAnsi="Arial" w:cs="Arial"/>
          <w:b/>
          <w:bCs/>
        </w:rPr>
      </w:pPr>
      <w:r>
        <w:rPr>
          <w:rFonts w:ascii="Arial" w:hAnsi="Arial" w:cs="Arial"/>
        </w:rPr>
      </w:r>
      <w:r>
        <w:rPr>
          <w:rFonts w:ascii="Arial" w:hAnsi="Arial" w:cs="Arial"/>
          <w:b/>
          <w:bCs/>
        </w:rPr>
        <w:t xml:space="preserve">Lead Finding — Duration Drives Support Requirements</w:t>
      </w:r>
      <w:r>
        <w:rPr>
          <w:rFonts w:ascii="Arial" w:hAnsi="Arial" w:cs="Arial"/>
          <w:b/>
          <w:bCs/>
        </w:rPr>
      </w:r>
      <w:r>
        <w:rPr>
          <w:rFonts w:ascii="Arial" w:hAnsi="Arial" w:cs="Arial"/>
          <w:b/>
          <w:bCs/>
        </w:rPr>
      </w:r>
    </w:p>
    <w:p w14:paraId="50421CDC">
      <w:pPr>
        <w:pStyle w:val="886"/>
        <w:pBdr/>
        <w:spacing/>
        <w:ind/>
        <w:rPr>
          <w:sz w:val="24"/>
          <w:szCs w:val="24"/>
        </w:rPr>
      </w:pPr>
      <w:r>
        <w:rPr>
          <w:rFonts w:ascii="Arial" w:hAnsi="Arial" w:cs="Arial"/>
          <w:sz w:val="24"/>
          <w:szCs w:val="24"/>
        </w:rPr>
        <w:t xml:space="preserve">Within the Li‑ion projects in Window 1, duration is the strongest driver of modelled residual support. Under our assumptions, each additional hour adds £27.8k/MW/yr to the equivalent annual support requirement.</w:t>
      </w:r>
      <w:r>
        <w:rPr>
          <w:rFonts w:ascii="Arial" w:hAnsi="Arial" w:cs="Arial"/>
          <w:sz w:val="24"/>
          <w:szCs w:val="24"/>
        </w:rPr>
      </w:r>
      <w:r>
        <w:rPr>
          <w:rFonts w:ascii="Arial" w:hAnsi="Arial" w:cs="Arial"/>
          <w:sz w:val="24"/>
          <w:szCs w:val="24"/>
        </w:rPr>
      </w:r>
    </w:p>
    <w:p w14:paraId="7B5D7479">
      <w:pPr>
        <w:pStyle w:val="886"/>
        <w:pBdr/>
        <w:spacing/>
        <w:ind/>
        <w:rPr>
          <w:rFonts w:ascii="Arial" w:hAnsi="Arial" w:cs="Arial"/>
          <w:sz w:val="24"/>
          <w:szCs w:val="24"/>
        </w:rPr>
      </w:pPr>
      <w:r>
        <w:rPr>
          <w:rFonts w:ascii="Arial" w:hAnsi="Arial" w:cs="Arial"/>
          <w:sz w:val="24"/>
          <w:szCs w:val="24"/>
        </w:rPr>
        <w:t xml:space="preserve">PSH, CAES and VFB/Zn follow different cost curves, so they are excluded from the Li‑ion regression. This reinforces the need for technology‑specific modelling, even when duration is treated as a continuous variable. Duration should therefore be an explicit </w:t>
      </w:r>
      <w:r>
        <w:rPr>
          <w:rFonts w:ascii="Arial" w:hAnsi="Arial" w:cs="Arial"/>
          <w:sz w:val="24"/>
          <w:szCs w:val="24"/>
        </w:rPr>
        <w:t xml:space="preserve">calibration factor within each technology class. The coefficient used here—£27.8k/MW/yr per hour—comes from our assumed cost curves and should be validated against project submissions. It is not a proposed regulatory value.</w:t>
      </w:r>
      <w:r>
        <w:rPr>
          <w:rFonts w:ascii="Arial" w:hAnsi="Arial" w:cs="Arial"/>
          <w:sz w:val="24"/>
          <w:szCs w:val="24"/>
        </w:rPr>
      </w:r>
      <w:r>
        <w:rPr>
          <w:rFonts w:ascii="Arial" w:hAnsi="Arial" w:cs="Arial"/>
          <w:sz w:val="24"/>
          <w:szCs w:val="24"/>
        </w:rPr>
      </w:r>
      <w:r>
        <w:rPr>
          <w:rFonts w:ascii="Arial" w:hAnsi="Arial" w:eastAsia="Arial" w:cs="Arial"/>
          <w:highlight w:val="none"/>
        </w:rPr>
      </w:r>
      <w:r>
        <w:rPr>
          <w:rFonts w:ascii="Arial" w:hAnsi="Arial" w:eastAsia="Arial" w:cs="Arial"/>
          <w:highlight w:val="none"/>
        </w:rPr>
      </w:r>
      <w:r>
        <w:rPr>
          <w:rFonts w:ascii="Arial" w:hAnsi="Arial" w:cs="Arial"/>
          <w:sz w:val="24"/>
          <w:szCs w:val="24"/>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sz w:val="24"/>
          <w:szCs w:val="24"/>
        </w:rPr>
      </w:r>
    </w:p>
    <w:p>
      <w:pPr>
        <w:pStyle w:val="886"/>
        <w:pBdr/>
        <w:spacing/>
        <w:ind/>
        <w:rPr>
          <w:rFonts w:ascii="Arial" w:hAnsi="Arial" w:eastAsia="Arial" w:cs="Arial"/>
          <w:b/>
          <w:bCs/>
          <w:highlight w:val="none"/>
        </w:rPr>
      </w:pPr>
      <w:r>
        <w:rPr>
          <w:rFonts w:ascii="Arial" w:hAnsi="Arial" w:eastAsia="Arial" w:cs="Arial"/>
        </w:rPr>
      </w:r>
      <w:bookmarkStart w:id="22" w:name="X707bba6a2219bfcf1a56199e199f9ae0dbf2819"/>
      <w:r>
        <w:rPr>
          <w:rFonts w:ascii="Arial" w:hAnsi="Arial" w:eastAsia="Arial" w:cs="Arial"/>
          <w:b/>
          <w:bCs/>
        </w:rPr>
        <w:t xml:space="preserve">Supporting Finding — </w:t>
      </w:r>
      <w:r>
        <w:rPr>
          <w:rFonts w:ascii="Arial" w:hAnsi="Arial" w:eastAsia="Arial" w:cs="Arial"/>
          <w:b/>
          <w:bCs/>
          <w:lang w:val="en-GB"/>
        </w:rPr>
        <w:t xml:space="preserve">Location Matters</w:t>
      </w:r>
      <w:r>
        <w:rPr>
          <w:rFonts w:ascii="Arial" w:hAnsi="Arial" w:cs="Arial"/>
          <w:b/>
          <w:bCs/>
        </w:rPr>
      </w:r>
    </w:p>
    <w:p w14:paraId="39063360">
      <w:pPr>
        <w:pStyle w:val="886"/>
        <w:pBdr/>
        <w:spacing/>
        <w:ind/>
        <w:rPr>
          <w:rFonts w:ascii="Arial" w:hAnsi="Arial" w:cs="Arial"/>
        </w:rPr>
      </w:pPr>
      <w:r>
        <w:rPr>
          <w:rFonts w:ascii="Arial" w:hAnsi="Arial" w:eastAsia="Arial" w:cs="Arial"/>
          <w:highlight w:val="none"/>
        </w:rPr>
      </w:r>
      <w:r>
        <w:rPr>
          <w:rFonts w:ascii="Arial" w:hAnsi="Arial" w:eastAsia="Arial" w:cs="Arial"/>
          <w:sz w:val="24"/>
          <w:szCs w:val="24"/>
          <w:highlight w:val="none"/>
        </w:rPr>
        <w:t xml:space="preserve">Li‑ion projects behind the SSEN‑S constraint interface require roughly 30% more modelled support than unconstrained projects, after controlling for duration. This should be </w:t>
      </w:r>
      <w:r>
        <w:rPr>
          <w:rFonts w:ascii="Arial" w:hAnsi="Arial" w:eastAsia="Arial" w:cs="Arial"/>
          <w:sz w:val="24"/>
          <w:szCs w:val="24"/>
          <w:highlight w:val="none"/>
        </w:rPr>
        <w:t xml:space="preserve">treated </w:t>
      </w:r>
      <w:r>
        <w:rPr>
          <w:rFonts w:ascii="Arial" w:hAnsi="Arial" w:eastAsia="Arial" w:cs="Arial"/>
          <w:sz w:val="24"/>
          <w:szCs w:val="24"/>
          <w:highlight w:val="none"/>
        </w:rPr>
        <w:t xml:space="preserve">as an upper‑bound estimate, because partial Balancing Mechanism redispatch r</w:t>
      </w:r>
      <w:r>
        <w:rPr>
          <w:rFonts w:ascii="Arial" w:hAnsi="Arial" w:eastAsia="Arial" w:cs="Arial"/>
          <w:sz w:val="24"/>
          <w:szCs w:val="24"/>
          <w:highlight w:val="none"/>
        </w:rPr>
        <w:t xml:space="preserve">evenue may offset constraint exposure</w:t>
      </w:r>
      <w:r>
        <w:rPr>
          <w:rFonts w:ascii="Arial" w:hAnsi="Arial" w:eastAsia="Arial" w:cs="Arial"/>
          <w:highlight w:val="none"/>
        </w:rPr>
        <w:t xml:space="preserve">.</w:t>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rPr>
      </w:r>
    </w:p>
    <w:p>
      <w:pPr>
        <w:pStyle w:val="886"/>
        <w:pBdr/>
        <w:spacing/>
        <w:ind/>
        <w:rPr>
          <w:rFonts w:ascii="Arial" w:hAnsi="Arial" w:eastAsia="Arial" w:cs="Arial"/>
          <w:b/>
          <w:bCs/>
          <w:highlight w:val="none"/>
        </w:rPr>
      </w:pPr>
      <w:r>
        <w:rPr>
          <w:rFonts w:ascii="Arial" w:hAnsi="Arial" w:eastAsia="Arial" w:cs="Arial"/>
        </w:rPr>
      </w:r>
      <w:bookmarkStart w:id="23" w:name="X2c78fd081957c5d9055b7491befcd4ef561e197"/>
      <w:r>
        <w:rPr>
          <w:rFonts w:ascii="Arial" w:hAnsi="Arial" w:eastAsia="Arial" w:cs="Arial"/>
          <w:b/>
          <w:bCs/>
        </w:rPr>
        <w:t xml:space="preserve">Supporting Finding — PSH </w:t>
      </w:r>
      <w:r>
        <w:rPr>
          <w:rFonts w:ascii="Arial" w:hAnsi="Arial" w:eastAsia="Arial" w:cs="Arial"/>
          <w:b/>
          <w:bCs/>
          <w:lang w:val="en-GB"/>
        </w:rPr>
        <w:t xml:space="preserve">Requires Less Floor Support</w:t>
      </w:r>
      <w:r>
        <w:rPr>
          <w:rFonts w:ascii="Arial" w:hAnsi="Arial" w:cs="Arial"/>
          <w:b/>
          <w:bCs/>
        </w:rPr>
      </w:r>
    </w:p>
    <w:p w14:paraId="552FB84E">
      <w:pPr>
        <w:pStyle w:val="886"/>
        <w:pBdr/>
        <w:spacing/>
        <w:ind/>
        <w:rPr>
          <w:rFonts w:ascii="Arial" w:hAnsi="Arial" w:cs="Arial"/>
          <w:sz w:val="24"/>
          <w:szCs w:val="24"/>
        </w:rPr>
      </w:pPr>
      <w:r>
        <w:rPr>
          <w:rFonts w:ascii="Arial" w:hAnsi="Arial" w:cs="Arial"/>
          <w:sz w:val="24"/>
          <w:szCs w:val="24"/>
        </w:rPr>
      </w:r>
      <w:r>
        <w:rPr>
          <w:rFonts w:ascii="Arial" w:hAnsi="Arial" w:cs="Arial"/>
          <w:sz w:val="24"/>
          <w:szCs w:val="24"/>
        </w:rPr>
        <w:t xml:space="preserve">Under our central assumptions, PSH shows zero modelled residual top‑up. This does not imply PSH can operate without a cap and floor regime. It simply indicates that PSH is less reliant on floor payments than Li‑ion within our simplified revenue stack. This </w:t>
      </w:r>
      <w:r>
        <w:rPr>
          <w:rFonts w:ascii="Arial" w:hAnsi="Arial" w:cs="Arial"/>
          <w:sz w:val="24"/>
          <w:szCs w:val="24"/>
        </w:rPr>
        <w:t xml:space="preserve">result holds under IDC stress tests: even with an 8% WACC over eight years—equivalent to a 1.36× capex uplift—all three PSH projects still show zero residual top‑up.</w:t>
      </w:r>
      <w:r>
        <w:rPr>
          <w:rFonts w:ascii="Arial" w:hAnsi="Arial" w:cs="Arial"/>
          <w:sz w:val="24"/>
          <w:szCs w:val="24"/>
        </w:rPr>
      </w:r>
      <w:r>
        <w:rPr>
          <w:rFonts w:ascii="Arial" w:hAnsi="Arial" w:cs="Arial"/>
          <w:sz w:val="24"/>
          <w:szCs w:val="24"/>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sz w:val="24"/>
          <w:szCs w:val="24"/>
        </w:rPr>
      </w:r>
    </w:p>
    <w:p>
      <w:pPr>
        <w:pStyle w:val="886"/>
        <w:pBdr/>
        <w:spacing/>
        <w:ind/>
        <w:rPr>
          <w:rFonts w:ascii="Arial" w:hAnsi="Arial" w:eastAsia="Arial" w:cs="Arial"/>
          <w:b/>
          <w:bCs/>
          <w:highlight w:val="none"/>
        </w:rPr>
      </w:pPr>
      <w:r>
        <w:rPr>
          <w:rFonts w:ascii="Arial" w:hAnsi="Arial" w:eastAsia="Arial" w:cs="Arial"/>
        </w:rPr>
      </w:r>
      <w:bookmarkStart w:id="24" w:name="policy-recommendation"/>
      <w:r>
        <w:rPr>
          <w:rFonts w:ascii="Arial" w:hAnsi="Arial" w:eastAsia="Arial" w:cs="Arial"/>
          <w:b/>
          <w:bCs/>
        </w:rPr>
        <w:t xml:space="preserve">Policy Recommendation</w:t>
      </w:r>
      <w:r>
        <w:rPr>
          <w:rFonts w:ascii="Arial" w:hAnsi="Arial" w:cs="Arial"/>
          <w:b/>
          <w:bCs/>
        </w:rPr>
      </w:r>
      <w:r>
        <w:rPr>
          <w:rFonts w:ascii="Arial" w:hAnsi="Arial" w:cs="Arial"/>
          <w:b/>
          <w:bCs/>
        </w:rPr>
      </w:r>
    </w:p>
    <w:p w14:paraId="624A8BEF">
      <w:pPr>
        <w:pBdr/>
        <w:spacing/>
        <w:ind/>
        <w:rPr>
          <w:rFonts w:ascii="Arial" w:hAnsi="Arial" w:cs="Arial"/>
        </w:rPr>
      </w:pPr>
      <w:r>
        <w:rPr>
          <w:rFonts w:ascii="Arial" w:hAnsi="Arial" w:eastAsia="Arial" w:cs="Arial"/>
          <w:highlight w:val="none"/>
        </w:rPr>
      </w:r>
      <w:r>
        <w:rPr>
          <w:rFonts w:ascii="Arial" w:hAnsi="Arial" w:eastAsia="Arial" w:cs="Arial"/>
        </w:rPr>
        <w:t xml:space="preserve">Calibration should not rely on common parameters alone. Duration, location and technology</w:t>
      </w:r>
      <w:r>
        <w:rPr>
          <w:rFonts w:ascii="Arial" w:hAnsi="Arial" w:eastAsia="Arial" w:cs="Arial"/>
        </w:rPr>
        <w:t xml:space="preserve">‑specific lifecycle costs materially affect support requirements. Duration should anchor calibration within each technology class, with adjustments for constraint expo</w:t>
      </w:r>
      <w:r>
        <w:rPr>
          <w:rFonts w:ascii="Arial" w:hAnsi="Arial" w:eastAsia="Arial" w:cs="Arial"/>
        </w:rPr>
        <w:t xml:space="preserve">sure and lifecycle cost. Duration coefficients should come from project submissions, not model‑derived estimates.</w:t>
      </w:r>
      <w:r>
        <w:rPr>
          <w:rFonts w:ascii="Arial" w:hAnsi="Arial" w:eastAsia="Arial" w:cs="Arial"/>
          <w:highlight w:val="none"/>
        </w:rPr>
      </w:r>
      <w:r>
        <w:rPr>
          <w:rFonts w:ascii="Arial" w:hAnsi="Arial" w:eastAsia="Arial" w:cs="Arial"/>
          <w:highlight w:val="none"/>
        </w:rPr>
      </w:r>
    </w:p>
    <w:p>
      <w:pPr>
        <w:pBdr/>
        <w:spacing/>
        <w:ind/>
        <w:rPr>
          <w:rFonts w:ascii="Arial" w:hAnsi="Arial" w:cs="Arial"/>
          <w:highlight w:val="none"/>
        </w:rPr>
      </w:pPr>
      <w:r>
        <w:rPr>
          <w:rFonts w:ascii="Arial" w:hAnsi="Arial" w:eastAsia="Arial" w:cs="Arial"/>
        </w:rP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24"/>
      <w:r/>
      <w:bookmarkEnd w:id="25"/>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b/>
          <w:bCs/>
        </w:rPr>
      </w:r>
      <w:bookmarkStart w:id="29" w:name="methodology-overview"/>
      <w:r>
        <w:rPr>
          <w:rFonts w:ascii="Arial" w:hAnsi="Arial" w:eastAsia="Arial" w:cs="Arial"/>
          <w:b/>
          <w:bCs/>
        </w:rPr>
        <w:t xml:space="preserve">3. Methodology Overview</w:t>
      </w:r>
      <w:r>
        <w:rPr>
          <w:rFonts w:ascii="Arial" w:hAnsi="Arial" w:cs="Arial"/>
          <w:b/>
          <w:bCs/>
        </w:rPr>
      </w:r>
      <w:r>
        <w:rPr>
          <w:rFonts w:ascii="Arial" w:hAnsi="Arial" w:cs="Arial"/>
          <w:b/>
          <w:bCs/>
        </w:rPr>
      </w:r>
    </w:p>
    <w:p>
      <w:pPr>
        <w:pStyle w:val="886"/>
        <w:pBdr/>
        <w:spacing/>
        <w:ind/>
        <w:rPr>
          <w:rFonts w:ascii="Arial" w:hAnsi="Arial" w:cs="Arial"/>
          <w:b/>
          <w:bCs/>
        </w:rPr>
      </w:pPr>
      <w:r>
        <w:rPr>
          <w:rFonts w:ascii="Arial" w:hAnsi="Arial" w:eastAsia="Arial" w:cs="Arial"/>
          <w:b/>
          <w:bCs/>
        </w:rPr>
      </w:r>
      <w:bookmarkStart w:id="26" w:name="data-sources"/>
      <w:r>
        <w:rPr>
          <w:rFonts w:ascii="Arial" w:hAnsi="Arial" w:eastAsia="Arial" w:cs="Arial"/>
          <w:b/>
          <w:bCs/>
        </w:rPr>
        <w:t xml:space="preserve">3.1 Data Sources</w:t>
      </w:r>
      <w:r>
        <w:rPr>
          <w:rFonts w:ascii="Arial" w:hAnsi="Arial" w:cs="Arial"/>
          <w:b/>
          <w:bCs/>
        </w:rPr>
      </w:r>
      <w:r>
        <w:rPr>
          <w:rFonts w:ascii="Arial" w:hAnsi="Arial" w:cs="Arial"/>
          <w:b/>
          <w:bCs/>
        </w:rPr>
      </w:r>
    </w:p>
    <w:p w14:paraId="2BD0209A">
      <w:pPr>
        <w:pStyle w:val="872"/>
        <w:pBdr/>
        <w:spacing/>
        <w:ind/>
        <w:rPr/>
      </w:pPr>
      <w:r>
        <w:rPr>
          <w:rFonts w:ascii="Arial" w:hAnsi="Arial" w:eastAsia="Arial" w:cs="Arial"/>
          <w:highlight w:val="none"/>
        </w:rPr>
        <w:t xml:space="preserve">Project technical inputs are taken from the published Window 1 minded‑to portfolio. Cost curves, lifecycle multipliers, curtailment assumptions, WACC and revenue‑stack assumptions are independent modelling assumptions applied transparently for sensitivity a</w:t>
      </w:r>
      <w:r>
        <w:rPr>
          <w:rFonts w:ascii="Arial" w:hAnsi="Arial" w:eastAsia="Arial" w:cs="Arial"/>
          <w:highlight w:val="none"/>
        </w:rPr>
        <w:t xml:space="preserve">nalysis. Open‑source price data is sourced from Elexon BMRS for 2021–2024.</w:t>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pStyle w:val="872"/>
        <w:pBdr/>
        <w:spacing/>
        <w:ind/>
        <w:rPr>
          <w:rFonts w:ascii="Arial" w:hAnsi="Arial" w:eastAsia="Arial" w:cs="Arial"/>
          <w:highlight w:val="none"/>
        </w:rPr>
      </w:pPr>
      <w:r>
        <w:rPr>
          <w:rFonts w:ascii="Arial" w:hAnsi="Arial" w:eastAsia="Arial" w:cs="Arial"/>
          <w:highlight w:val="none"/>
        </w:rPr>
        <w:t xml:space="preserve">The “modelled equivalent annual residual support requirement” is an annualised support‑gap metric expressed in £k/MW/yr. It is not intended to replicate Ofgem’s formal floor calculation; it is used to compare how support need varies across duration, technol</w:t>
      </w:r>
      <w:r>
        <w:rPr>
          <w:rFonts w:ascii="Arial" w:hAnsi="Arial" w:eastAsia="Arial" w:cs="Arial"/>
          <w:highlight w:val="none"/>
        </w:rPr>
        <w:t xml:space="preserve">ogy and constraint exposure.</w:t>
      </w:r>
      <w:r>
        <w:rPr>
          <w:rFonts w:ascii="Arial" w:hAnsi="Arial" w:eastAsia="Arial" w:cs="Arial"/>
          <w:highlight w:val="none"/>
        </w:rPr>
      </w:r>
      <w:r/>
      <w:bookmarkEnd w:id="26"/>
      <w:r>
        <w:rPr>
          <w:rFonts w:ascii="Arial" w:hAnsi="Arial" w:eastAsia="Arial" w:cs="Arial"/>
          <w:highlight w:val="none"/>
        </w:rPr>
      </w:r>
      <w:r>
        <w:rPr>
          <w:rFonts w:ascii="Arial" w:hAnsi="Arial" w:eastAsia="Arial" w:cs="Arial"/>
          <w:highlight w:val="none"/>
        </w:rPr>
      </w:r>
    </w:p>
    <w:p>
      <w:pPr>
        <w:pStyle w:val="886"/>
        <w:pBdr/>
        <w:spacing/>
        <w:ind/>
        <w:rPr>
          <w:rFonts w:ascii="Arial" w:hAnsi="Arial" w:cs="Arial"/>
          <w:b/>
          <w:bCs/>
        </w:rPr>
      </w:pPr>
      <w:r>
        <w:rPr>
          <w:rFonts w:ascii="Arial" w:hAnsi="Arial" w:eastAsia="Arial" w:cs="Arial"/>
        </w:rPr>
      </w:r>
      <w:bookmarkStart w:id="27" w:name="analytical-approach"/>
      <w:r>
        <w:rPr>
          <w:rFonts w:ascii="Arial" w:hAnsi="Arial" w:eastAsia="Arial" w:cs="Arial"/>
          <w:b/>
          <w:bCs/>
        </w:rPr>
        <w:t xml:space="preserve">3.2 Analytical Approach</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lang w:val="en-GB"/>
        </w:rPr>
        <w:t xml:space="preserve">The</w:t>
      </w:r>
      <w:r>
        <w:rPr>
          <w:rFonts w:ascii="Arial" w:hAnsi="Arial" w:eastAsia="Arial" w:cs="Arial"/>
        </w:rPr>
        <w:t xml:space="preserve"> model comprises six sequential stages:</w:t>
      </w:r>
      <w:r>
        <w:rPr>
          <w:rFonts w:ascii="Arial" w:hAnsi="Arial" w:cs="Arial"/>
        </w:rPr>
      </w:r>
      <w:r>
        <w:rPr>
          <w:rFonts w:ascii="Arial" w:hAnsi="Arial" w:cs="Arial"/>
        </w:rPr>
      </w:r>
    </w:p>
    <w:p>
      <w:pPr>
        <w:numPr>
          <w:ilvl w:val="0"/>
          <w:numId w:val="2"/>
        </w:numPr>
        <w:pBdr/>
        <w:spacing/>
        <w:ind/>
        <w:rPr>
          <w:rFonts w:ascii="Arial" w:hAnsi="Arial" w:cs="Arial"/>
        </w:rPr>
      </w:pPr>
      <w:r>
        <w:rPr>
          <w:rFonts w:ascii="Arial" w:hAnsi="Arial" w:eastAsia="Arial" w:cs="Arial"/>
          <w:b/>
          <w:bCs/>
        </w:rPr>
        <w:t xml:space="preserve">Geographic Alignment (NB19):</w:t>
      </w:r>
      <w:r>
        <w:rPr>
          <w:rFonts w:ascii="Arial" w:hAnsi="Arial" w:eastAsia="Arial" w:cs="Arial"/>
        </w:rPr>
        <w:t xml:space="preserve"> </w:t>
      </w:r>
      <w:r>
        <w:rPr>
          <w:rFonts w:ascii="Arial" w:hAnsi="Arial" w:eastAsia="Arial" w:cs="Arial"/>
        </w:rPr>
        <w:t xml:space="preserve">Mapped 16 Window 1 projects to transmission constraint zones, identifying seven projects, totalling 5,100 MW, behind the SSEN-S interface.</w:t>
      </w:r>
      <w:r>
        <w:rPr>
          <w:rFonts w:ascii="Arial" w:hAnsi="Arial" w:cs="Arial"/>
        </w:rPr>
      </w:r>
      <w:r>
        <w:rPr>
          <w:rFonts w:ascii="Arial" w:hAnsi="Arial" w:cs="Arial"/>
        </w:rPr>
      </w:r>
    </w:p>
    <w:p>
      <w:pPr>
        <w:numPr>
          <w:ilvl w:val="0"/>
          <w:numId w:val="2"/>
        </w:numPr>
        <w:pBdr/>
        <w:spacing/>
        <w:ind/>
        <w:rPr>
          <w:rFonts w:ascii="Arial" w:hAnsi="Arial" w:cs="Arial"/>
        </w:rPr>
      </w:pPr>
      <w:r>
        <w:rPr>
          <w:rFonts w:ascii="Arial" w:hAnsi="Arial" w:eastAsia="Arial" w:cs="Arial"/>
          <w:b/>
          <w:bCs/>
        </w:rPr>
        <w:t xml:space="preserve">Lifecycle Economics (NB20):</w:t>
      </w:r>
      <w:r>
        <w:rPr>
          <w:rFonts w:ascii="Arial" w:hAnsi="Arial" w:eastAsia="Arial" w:cs="Arial"/>
        </w:rPr>
        <w:t xml:space="preserve"> </w:t>
      </w:r>
      <w:r>
        <w:rPr>
          <w:rFonts w:ascii="Arial" w:hAnsi="Arial" w:eastAsia="Arial" w:cs="Arial"/>
        </w:rPr>
        <w:t xml:space="preserve">Calculated technology-specific capex, including mid-life augmentation for Li-ion assets and refurbishment assumptions for PSH, CAES and VFB/Zn.</w:t>
      </w:r>
      <w:r>
        <w:rPr>
          <w:rFonts w:ascii="Arial" w:hAnsi="Arial" w:cs="Arial"/>
        </w:rPr>
      </w:r>
      <w:r>
        <w:rPr>
          <w:rFonts w:ascii="Arial" w:hAnsi="Arial" w:cs="Arial"/>
        </w:rPr>
      </w:r>
    </w:p>
    <w:p>
      <w:pPr>
        <w:numPr>
          <w:ilvl w:val="0"/>
          <w:numId w:val="2"/>
        </w:numPr>
        <w:pBdr/>
        <w:spacing/>
        <w:ind/>
        <w:rPr>
          <w:rFonts w:ascii="Arial" w:hAnsi="Arial" w:cs="Arial"/>
        </w:rPr>
      </w:pPr>
      <w:r>
        <w:rPr>
          <w:rFonts w:ascii="Arial" w:hAnsi="Arial" w:eastAsia="Arial" w:cs="Arial"/>
          <w:b/>
          <w:bCs/>
        </w:rPr>
        <w:t xml:space="preserve">Market Revenue Dispatch (NB21):</w:t>
      </w:r>
      <w:r>
        <w:rPr>
          <w:rFonts w:ascii="Arial" w:hAnsi="Arial" w:eastAsia="Arial" w:cs="Arial"/>
        </w:rPr>
        <w:t xml:space="preserve"> </w:t>
      </w:r>
      <w:r>
        <w:rPr>
          <w:rFonts w:ascii="Arial" w:hAnsi="Arial" w:eastAsia="Arial" w:cs="Arial"/>
        </w:rPr>
        <w:t xml:space="preserve">Simulated duration-constrained wholesale arbitrage, where short-duration assets below 24h are limited to daily search windows and long-duration assets of 24h or above are permitted multi-day optimisation.</w:t>
      </w:r>
      <w:r>
        <w:rPr>
          <w:rFonts w:ascii="Arial" w:hAnsi="Arial" w:cs="Arial"/>
        </w:rPr>
      </w:r>
      <w:r>
        <w:rPr>
          <w:rFonts w:ascii="Arial" w:hAnsi="Arial" w:cs="Arial"/>
        </w:rPr>
      </w:r>
    </w:p>
    <w:p>
      <w:pPr>
        <w:numPr>
          <w:ilvl w:val="0"/>
          <w:numId w:val="2"/>
        </w:numPr>
        <w:pBdr/>
        <w:spacing/>
        <w:ind/>
        <w:rPr>
          <w:rFonts w:ascii="Arial" w:hAnsi="Arial" w:cs="Arial"/>
        </w:rPr>
      </w:pPr>
      <w:r>
        <w:rPr>
          <w:rFonts w:ascii="Arial" w:hAnsi="Arial" w:eastAsia="Arial" w:cs="Arial"/>
          <w:b/>
          <w:bCs/>
        </w:rPr>
        <w:t xml:space="preserve">Curtailment and RRT Penalty (NB22):</w:t>
      </w:r>
      <w:r>
        <w:rPr>
          <w:rFonts w:ascii="Arial" w:hAnsi="Arial" w:eastAsia="Arial" w:cs="Arial"/>
        </w:rPr>
        <w:t xml:space="preserve"> </w:t>
      </w:r>
      <w:r>
        <w:rPr>
          <w:rFonts w:ascii="Arial" w:hAnsi="Arial" w:eastAsia="Arial" w:cs="Arial"/>
        </w:rPr>
        <w:t xml:space="preserve">Applied a duration-dependent curtailment model in which duration resilience mitigates curtailment loss proportionally. The formula is set out in Section 4.2.</w:t>
      </w:r>
      <w:r>
        <w:rPr>
          <w:rFonts w:ascii="Arial" w:hAnsi="Arial" w:cs="Arial"/>
        </w:rPr>
      </w:r>
      <w:r>
        <w:rPr>
          <w:rFonts w:ascii="Arial" w:hAnsi="Arial" w:cs="Arial"/>
        </w:rPr>
      </w:r>
    </w:p>
    <w:p>
      <w:pPr>
        <w:numPr>
          <w:ilvl w:val="0"/>
          <w:numId w:val="2"/>
        </w:numPr>
        <w:pBdr/>
        <w:spacing/>
        <w:ind/>
        <w:rPr>
          <w:rFonts w:ascii="Arial" w:hAnsi="Arial" w:cs="Arial"/>
        </w:rPr>
      </w:pPr>
      <w:r>
        <w:rPr>
          <w:rFonts w:ascii="Arial" w:hAnsi="Arial" w:eastAsia="Arial" w:cs="Arial"/>
          <w:b/>
          <w:bCs/>
        </w:rPr>
        <w:t xml:space="preserve">Stacked Revenue and Required Support (NB23):</w:t>
      </w:r>
      <w:r>
        <w:rPr>
          <w:rFonts w:ascii="Arial" w:hAnsi="Arial" w:eastAsia="Arial" w:cs="Arial"/>
        </w:rPr>
        <w:t xml:space="preserve"> </w:t>
      </w:r>
      <w:r>
        <w:rPr>
          <w:rFonts w:ascii="Arial" w:hAnsi="Arial" w:eastAsia="Arial" w:cs="Arial"/>
        </w:rPr>
        <w:t xml:space="preserve">Combined wholesale arbitrage, Capacity Market revenue and modelled Balancing Mechanism revenue, while treating constraint-period redispatch revenue as zero in the RRT penalty calculation.</w:t>
      </w:r>
      <w:r>
        <w:rPr>
          <w:rFonts w:ascii="Arial" w:hAnsi="Arial" w:cs="Arial"/>
        </w:rPr>
      </w:r>
      <w:r>
        <w:rPr>
          <w:rFonts w:ascii="Arial" w:hAnsi="Arial" w:cs="Arial"/>
        </w:rPr>
      </w:r>
    </w:p>
    <w:p>
      <w:pPr>
        <w:numPr>
          <w:ilvl w:val="0"/>
          <w:numId w:val="2"/>
        </w:numPr>
        <w:pBdr/>
        <w:spacing/>
        <w:ind/>
        <w:rPr>
          <w:rFonts w:ascii="Arial" w:hAnsi="Arial" w:cs="Arial"/>
        </w:rPr>
      </w:pPr>
      <w:r>
        <w:rPr>
          <w:rFonts w:ascii="Arial" w:hAnsi="Arial" w:eastAsia="Arial" w:cs="Arial"/>
          <w:b/>
          <w:bCs/>
        </w:rPr>
        <w:t xml:space="preserve">Technology Risk Adjustment (NB24):</w:t>
      </w:r>
      <w:r>
        <w:rPr>
          <w:rFonts w:ascii="Arial" w:hAnsi="Arial" w:eastAsia="Arial" w:cs="Arial"/>
        </w:rPr>
        <w:t xml:space="preserve"> </w:t>
      </w:r>
      <w:r>
        <w:rPr>
          <w:rFonts w:ascii="Arial" w:hAnsi="Arial" w:eastAsia="Arial" w:cs="Arial"/>
        </w:rPr>
        <w:t xml:space="preserve">Applied technology-specific risk adjustments for WACC variance, capex contingency, revenue capture uncertainty and availability risk.</w:t>
      </w:r>
      <w:bookmarkEnd w:id="27"/>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28" w:name="key-assumptions"/>
      <w:r>
        <w:rPr>
          <w:rFonts w:ascii="Arial" w:hAnsi="Arial" w:eastAsia="Arial" w:cs="Arial"/>
        </w:rPr>
        <w:t xml:space="preserve">3.3 Key Assumptions</w:t>
      </w:r>
      <w:r>
        <w:rPr>
          <w:rFonts w:ascii="Arial" w:hAnsi="Arial" w:cs="Arial"/>
        </w:rPr>
      </w:r>
      <w:r>
        <w:rPr>
          <w:rFonts w:ascii="Arial" w:hAnsi="Arial" w:cs="Arial"/>
        </w:rPr>
      </w:r>
    </w:p>
    <w:p>
      <w:pPr>
        <w:pStyle w:val="874"/>
        <w:numPr>
          <w:ilvl w:val="0"/>
          <w:numId w:val="3"/>
        </w:numPr>
        <w:pBdr/>
        <w:spacing/>
        <w:ind/>
        <w:rPr>
          <w:rFonts w:ascii="Arial" w:hAnsi="Arial" w:cs="Arial"/>
        </w:rPr>
      </w:pPr>
      <w:r>
        <w:rPr>
          <w:rFonts w:ascii="Arial" w:hAnsi="Arial" w:eastAsia="Arial" w:cs="Arial"/>
          <w:b/>
          <w:bCs/>
        </w:rPr>
        <w:t xml:space="preserve">Li-ion augmentation:</w:t>
      </w:r>
      <w:r>
        <w:rPr>
          <w:rFonts w:ascii="Arial" w:hAnsi="Arial" w:eastAsia="Arial" w:cs="Arial"/>
        </w:rPr>
        <w:t xml:space="preserve"> </w:t>
      </w:r>
      <w:r>
        <w:rPr>
          <w:rFonts w:ascii="Arial" w:hAnsi="Arial" w:eastAsia="Arial" w:cs="Arial"/>
        </w:rPr>
        <w:t xml:space="preserve">1.70x lifecycle cost multiplier, reflecting an industry-consistent 25-year augmentation schedule.</w:t>
      </w:r>
      <w:r>
        <w:rPr>
          <w:rFonts w:ascii="Arial" w:hAnsi="Arial" w:cs="Arial"/>
        </w:rPr>
      </w:r>
      <w:r>
        <w:rPr>
          <w:rFonts w:ascii="Arial" w:hAnsi="Arial" w:cs="Arial"/>
        </w:rPr>
      </w:r>
    </w:p>
    <w:p>
      <w:pPr>
        <w:pStyle w:val="874"/>
        <w:numPr>
          <w:ilvl w:val="0"/>
          <w:numId w:val="3"/>
        </w:numPr>
        <w:pBdr/>
        <w:spacing/>
        <w:ind/>
        <w:rPr>
          <w:rFonts w:ascii="Arial" w:hAnsi="Arial" w:cs="Arial"/>
        </w:rPr>
      </w:pPr>
      <w:r>
        <w:rPr>
          <w:rFonts w:ascii="Arial" w:hAnsi="Arial" w:eastAsia="Arial" w:cs="Arial"/>
          <w:b/>
          <w:bCs/>
        </w:rPr>
        <w:t xml:space="preserve">PSH energy capacity cost:</w:t>
      </w:r>
      <w:r>
        <w:rPr>
          <w:rFonts w:ascii="Arial" w:hAnsi="Arial" w:eastAsia="Arial" w:cs="Arial"/>
        </w:rPr>
        <w:t xml:space="preserve"> </w:t>
      </w:r>
      <w:r>
        <w:rPr>
          <w:rFonts w:ascii="Arial" w:hAnsi="Arial" w:eastAsia="Arial" w:cs="Arial"/>
        </w:rPr>
        <w:t xml:space="preserve">£20,000/MWh, directionally consistent with the order of magnitude implied by international PSH benchmarks, though direct comparison is sensitive to FX, project scope, financing treatment and site-specific geology.</w:t>
      </w:r>
      <w:r>
        <w:rPr>
          <w:rFonts w:ascii="Arial" w:hAnsi="Arial" w:cs="Arial"/>
        </w:rPr>
      </w:r>
      <w:r>
        <w:rPr>
          <w:rFonts w:ascii="Arial" w:hAnsi="Arial" w:cs="Arial"/>
        </w:rPr>
      </w:r>
    </w:p>
    <w:p>
      <w:pPr>
        <w:pStyle w:val="874"/>
        <w:numPr>
          <w:ilvl w:val="0"/>
          <w:numId w:val="3"/>
        </w:numPr>
        <w:pBdr/>
        <w:spacing/>
        <w:ind/>
        <w:rPr>
          <w:rFonts w:ascii="Arial" w:hAnsi="Arial" w:cs="Arial"/>
        </w:rPr>
      </w:pPr>
      <w:r>
        <w:rPr>
          <w:rFonts w:ascii="Arial" w:hAnsi="Arial" w:eastAsia="Arial" w:cs="Arial"/>
          <w:b/>
          <w:bCs/>
        </w:rPr>
        <w:t xml:space="preserve">Curtailment model:</w:t>
      </w:r>
      <w:r>
        <w:rPr>
          <w:rFonts w:ascii="Arial" w:hAnsi="Arial" w:eastAsia="Arial" w:cs="Arial"/>
        </w:rPr>
        <w:t xml:space="preserve"> </w:t>
      </w:r>
      <w:r>
        <w:rPr>
          <w:rFonts w:ascii="Arial" w:hAnsi="Arial" w:eastAsia="Arial" w:cs="Arial"/>
        </w:rPr>
        <w:t xml:space="preserve">Duration-dependent resilience mitigates curtailment loss; see Section 4.2.</w:t>
      </w:r>
      <w:r>
        <w:rPr>
          <w:rFonts w:ascii="Arial" w:hAnsi="Arial" w:cs="Arial"/>
        </w:rPr>
      </w:r>
      <w:r>
        <w:rPr>
          <w:rFonts w:ascii="Arial" w:hAnsi="Arial" w:cs="Arial"/>
        </w:rPr>
      </w:r>
    </w:p>
    <w:p>
      <w:pPr>
        <w:pStyle w:val="874"/>
        <w:numPr>
          <w:ilvl w:val="0"/>
          <w:numId w:val="3"/>
        </w:numPr>
        <w:pBdr/>
        <w:spacing/>
        <w:ind/>
        <w:rPr>
          <w:rFonts w:ascii="Arial" w:hAnsi="Arial" w:cs="Arial"/>
        </w:rPr>
      </w:pPr>
      <w:r>
        <w:rPr>
          <w:rFonts w:ascii="Arial" w:hAnsi="Arial" w:eastAsia="Arial" w:cs="Arial"/>
          <w:b/>
          <w:bCs/>
        </w:rPr>
        <w:t xml:space="preserve">Capacity Market revenue:</w:t>
      </w:r>
      <w:r>
        <w:rPr>
          <w:rFonts w:ascii="Arial" w:hAnsi="Arial" w:eastAsia="Arial" w:cs="Arial"/>
        </w:rPr>
        <w:t xml:space="preserve"> </w:t>
      </w:r>
      <w:r>
        <w:rPr>
          <w:rFonts w:ascii="Arial" w:hAnsi="Arial" w:eastAsia="Arial" w:cs="Arial"/>
        </w:rPr>
        <w:t xml:space="preserve">£40k–£80k/MW/yr depending on duration.</w:t>
      </w:r>
      <w:r>
        <w:rPr>
          <w:rFonts w:ascii="Arial" w:hAnsi="Arial" w:cs="Arial"/>
        </w:rPr>
      </w:r>
      <w:r>
        <w:rPr>
          <w:rFonts w:ascii="Arial" w:hAnsi="Arial" w:cs="Arial"/>
        </w:rPr>
      </w:r>
    </w:p>
    <w:p>
      <w:pPr>
        <w:pStyle w:val="874"/>
        <w:numPr>
          <w:ilvl w:val="0"/>
          <w:numId w:val="3"/>
        </w:numPr>
        <w:pBdr/>
        <w:spacing/>
        <w:ind/>
        <w:rPr>
          <w:rFonts w:ascii="Arial" w:hAnsi="Arial" w:cs="Arial"/>
        </w:rPr>
      </w:pPr>
      <w:r>
        <w:rPr>
          <w:rFonts w:ascii="Arial" w:hAnsi="Arial" w:eastAsia="Arial" w:cs="Arial"/>
          <w:b/>
          <w:bCs/>
        </w:rPr>
        <w:t xml:space="preserve">WACC:</w:t>
      </w:r>
      <w:r>
        <w:rPr>
          <w:rFonts w:ascii="Arial" w:hAnsi="Arial" w:eastAsia="Arial" w:cs="Arial"/>
        </w:rPr>
        <w:t xml:space="preserve"> </w:t>
      </w:r>
      <w:r>
        <w:rPr>
          <w:rFonts w:ascii="Arial" w:hAnsi="Arial" w:eastAsia="Arial" w:cs="Arial"/>
        </w:rPr>
        <w:t xml:space="preserve">8%, risk-adjusted.</w:t>
      </w:r>
      <w:r>
        <w:rPr>
          <w:rFonts w:ascii="Arial" w:hAnsi="Arial" w:cs="Arial"/>
        </w:rPr>
      </w:r>
      <w:r>
        <w:rPr>
          <w:rFonts w:ascii="Arial" w:hAnsi="Arial" w:cs="Arial"/>
        </w:rPr>
      </w:r>
    </w:p>
    <w:p w14:paraId="0C115F90">
      <w:pPr>
        <w:pStyle w:val="874"/>
        <w:numPr>
          <w:ilvl w:val="0"/>
          <w:numId w:val="3"/>
        </w:numPr>
        <w:pBdr/>
        <w:spacing/>
        <w:ind/>
        <w:rPr>
          <w:rFonts w:ascii="Arial" w:hAnsi="Arial" w:cs="Arial"/>
        </w:rPr>
      </w:pPr>
      <w:r>
        <w:rPr>
          <w:rFonts w:ascii="Arial" w:hAnsi="Arial" w:eastAsia="Arial" w:cs="Arial"/>
          <w:highlight w:val="none"/>
        </w:rPr>
      </w:r>
      <w:r>
        <w:rPr>
          <w:rFonts w:ascii="Arial" w:hAnsi="Arial" w:eastAsia="Arial" w:cs="Arial"/>
          <w:b/>
          <w:bCs/>
          <w:highlight w:val="none"/>
        </w:rPr>
        <w:t xml:space="preserve">L</w:t>
      </w:r>
      <w:r>
        <w:rPr>
          <w:rFonts w:ascii="Arial" w:hAnsi="Arial" w:eastAsia="Arial" w:cs="Arial"/>
          <w:b/>
          <w:bCs/>
          <w:highlight w:val="none"/>
        </w:rPr>
        <w:t xml:space="preserve">i-ion capex assumptions:</w:t>
      </w:r>
      <w:r>
        <w:rPr>
          <w:rFonts w:ascii="Arial" w:hAnsi="Arial" w:eastAsia="Arial" w:cs="Arial"/>
          <w:highlight w:val="none"/>
        </w:rPr>
        <w:t xml:space="preserve"> Based on current commodity pricing</w:t>
      </w:r>
      <w:r>
        <w:rPr>
          <w:rFonts w:ascii="Arial" w:hAnsi="Arial" w:eastAsia="Arial" w:cs="Arial"/>
          <w:highlight w:val="none"/>
          <w:lang w:val="en-GB"/>
        </w:rPr>
        <w:t xml:space="preserve">.</w:t>
      </w:r>
      <w:r>
        <w:rPr>
          <w:rFonts w:ascii="Arial" w:hAnsi="Arial" w:cs="Arial"/>
        </w:rPr>
      </w:r>
      <w:r>
        <w:rPr>
          <w:rFonts w:ascii="Arial" w:hAnsi="Arial" w:cs="Arial"/>
        </w:rPr>
      </w:r>
    </w:p>
    <w:p w14:paraId="31BB4915">
      <w:pPr>
        <w:pStyle w:val="872"/>
        <w:pBdr/>
        <w:spacing/>
        <w:ind/>
        <w:rPr>
          <w:rFonts w:ascii="Arial" w:hAnsi="Arial" w:eastAsia="Arial" w:cs="Arial"/>
          <w:highlight w:val="none"/>
        </w:rPr>
      </w:pPr>
      <w:r>
        <w:rPr>
          <w:rFonts w:ascii="Arial" w:hAnsi="Arial" w:eastAsia="Arial" w:cs="Arial"/>
          <w:b/>
          <w:bCs/>
          <w:highlight w:val="none"/>
        </w:rPr>
        <w:t xml:space="preserve">Note:</w:t>
      </w:r>
      <w:r>
        <w:rPr>
          <w:rFonts w:ascii="Arial" w:hAnsi="Arial" w:eastAsia="Arial" w:cs="Arial"/>
          <w:highlight w:val="none"/>
        </w:rPr>
        <w:t xml:space="preserve"> </w:t>
      </w:r>
      <w:r>
        <w:rPr>
          <w:rFonts w:ascii="Arial" w:hAnsi="Arial" w:eastAsia="Arial" w:cs="Arial"/>
          <w:highlight w:val="none"/>
        </w:rPr>
        <w:t xml:space="preserve">G</w:t>
      </w:r>
      <w:r>
        <w:rPr>
          <w:rFonts w:ascii="Arial" w:hAnsi="Arial" w:eastAsia="Arial" w:cs="Arial"/>
          <w:highlight w:val="none"/>
        </w:rPr>
        <w:t xml:space="preserve">lobal battery supply chains face significant uncertainty from evolving industrial policy, trade restrictions, and technology transitions. Developers' project-submitted costs should reflect their own supply chain risk assessments, and Ofgem should ensure fl</w:t>
      </w:r>
      <w:r>
        <w:rPr>
          <w:rFonts w:ascii="Arial" w:hAnsi="Arial" w:eastAsia="Arial" w:cs="Arial"/>
          <w:highlight w:val="none"/>
        </w:rPr>
        <w:t xml:space="preserve">oor calibration uses conservative cost assumptions that account for this volatility.</w:t>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rPr>
      </w:r>
      <w:r>
        <w:rPr>
          <w:rFonts w:ascii="Arial" w:hAnsi="Arial" w:cs="Arial"/>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pStyle w:val="873"/>
        <w:pBdr/>
        <w:spacing/>
        <w:ind/>
        <w:rPr>
          <w:rFonts w:ascii="Arial" w:hAnsi="Arial" w:eastAsia="Arial" w:cs="Arial"/>
          <w:highlight w:val="none"/>
        </w:rPr>
      </w:pPr>
      <w:r>
        <w:rPr>
          <w:rFonts w:ascii="Arial" w:hAnsi="Arial" w:eastAsia="Arial" w:cs="Arial"/>
        </w:rPr>
        <w:t xml:space="preserve">Full methodology, assumptions and code are available upon request.</w:t>
      </w:r>
      <w:r>
        <w:rPr>
          <w:rFonts w:ascii="Arial" w:hAnsi="Arial" w:eastAsia="Arial" w:cs="Arial"/>
          <w:highlight w:val="none"/>
        </w:rPr>
      </w:r>
      <w:r>
        <w:rPr>
          <w:rFonts w:ascii="Arial" w:hAnsi="Arial" w:eastAsia="Arial" w:cs="Arial"/>
          <w:highlight w:val="none"/>
        </w:rPr>
      </w:r>
    </w:p>
    <w:p>
      <w:pPr>
        <w:pBdr/>
        <w:spacing/>
        <w:ind/>
        <w:rPr>
          <w:rFonts w:ascii="Arial" w:hAnsi="Arial" w:cs="Arial"/>
        </w:rPr>
      </w:pPr>
      <w:r>
        <w:rPr>
          <w:rFonts w:ascii="Arial" w:hAnsi="Arial" w:eastAsia="Arial" w:cs="Arial"/>
        </w:rP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28"/>
      <w:r/>
      <w:bookmarkEnd w:id="29"/>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b/>
          <w:bCs/>
        </w:rPr>
      </w:r>
      <w:bookmarkStart w:id="33" w:name="detailed-findings"/>
      <w:r>
        <w:rPr>
          <w:rFonts w:ascii="Arial" w:hAnsi="Arial" w:eastAsia="Arial" w:cs="Arial"/>
          <w:b/>
          <w:bCs/>
        </w:rPr>
        <w:t xml:space="preserve">4. Detailed Findings</w:t>
      </w:r>
      <w:r>
        <w:rPr>
          <w:rFonts w:ascii="Arial" w:hAnsi="Arial" w:cs="Arial"/>
          <w:b/>
          <w:bCs/>
        </w:rPr>
      </w:r>
      <w:r>
        <w:rPr>
          <w:rFonts w:ascii="Arial" w:hAnsi="Arial" w:cs="Arial"/>
          <w:b/>
          <w:bCs/>
        </w:rPr>
      </w:r>
    </w:p>
    <w:p>
      <w:pPr>
        <w:pStyle w:val="886"/>
        <w:pBdr/>
        <w:spacing/>
        <w:ind/>
        <w:rPr>
          <w:rFonts w:ascii="Arial" w:hAnsi="Arial" w:cs="Arial"/>
          <w:b/>
          <w:bCs/>
        </w:rPr>
      </w:pPr>
      <w:r>
        <w:rPr>
          <w:rFonts w:ascii="Arial" w:hAnsi="Arial" w:eastAsia="Arial" w:cs="Arial"/>
          <w:b/>
          <w:bCs/>
        </w:rPr>
      </w:r>
      <w:bookmarkStart w:id="30" w:name="Xd8181e4ccebb09df321b9e673a65fee8522b7ad"/>
      <w:r>
        <w:rPr>
          <w:rFonts w:ascii="Arial" w:hAnsi="Arial" w:eastAsia="Arial" w:cs="Arial"/>
          <w:b/>
          <w:bCs/>
        </w:rPr>
        <w:t xml:space="preserve">4.1 Duration Coefficient</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rPr>
      </w:r>
      <w:r>
        <w:rPr>
          <w:rFonts w:ascii="Arial" w:hAnsi="Arial" w:eastAsia="Arial" w:cs="Arial"/>
        </w:rPr>
        <w:t xml:space="preserve">Modelled support increases linearly with duration across the 8–18h Li‑ion range. Regression results show a duration coefficient of £27.8k/MW/yr per hour, with an R² of 0.999. The negative intercept has no physical interpretation. Duration should be treated </w:t>
      </w:r>
      <w:r>
        <w:rPr>
          <w:rFonts w:ascii="Arial" w:hAnsi="Arial" w:eastAsia="Arial" w:cs="Arial"/>
        </w:rPr>
        <w:t xml:space="preserve">as a continuous calibration variable within technology classes.</w:t>
      </w:r>
      <w:r>
        <w:rPr>
          <w:rFonts w:ascii="Arial" w:hAnsi="Arial" w:eastAsia="Arial" w:cs="Arial"/>
        </w:rPr>
      </w:r>
      <w:r>
        <w:rPr>
          <w:rFonts w:ascii="Arial" w:hAnsi="Arial" w:cs="Arial"/>
        </w:rPr>
      </w:r>
    </w:p>
    <w:tbl>
      <w:tblPr>
        <w:tblStyle w:val="906"/>
        <w:tblW w:w="5000" w:type="pct"/>
        <w:tblBorders/>
        <w:tblLayout w:type="fixed"/>
        <w:tblLook w:val="0020" w:firstRow="1" w:lastRow="0" w:firstColumn="0" w:lastColumn="0" w:noHBand="0" w:noVBand="0"/>
      </w:tblPr>
      <w:tblGrid>
        <w:gridCol w:w="2880"/>
        <w:gridCol w:w="2880"/>
        <w:gridCol w:w="2160"/>
      </w:tblGrid>
      <w:tr>
        <w:trPr>
          <w:tblHeader/>
        </w:trPr>
        <w:tc>
          <w:tcPr>
            <w:tcBorders/>
          </w:tcPr>
          <w:p>
            <w:pPr>
              <w:pStyle w:val="874"/>
              <w:pBdr/>
              <w:spacing/>
              <w:ind/>
              <w:jc w:val="right"/>
              <w:rPr>
                <w:rFonts w:ascii="Arial" w:hAnsi="Arial" w:cs="Arial"/>
              </w:rPr>
            </w:pPr>
            <w:r>
              <w:rPr>
                <w:rFonts w:ascii="Arial" w:hAnsi="Arial" w:eastAsia="Arial" w:cs="Arial"/>
              </w:rPr>
              <w:t xml:space="preserve">Duration Range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Average Modelled Equivalent Annual Residual Support</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Interpretation</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8h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£169k/MW/yr</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Daily arbitrage only</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11h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£261k/MW/yr</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Enhanced daily flexibility</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12h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£278k/MW/yr</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Multi-hour shifting</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16h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£395k–£524k/MW/yr</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Multi-day optimisation; unconstrained: £395k, constrained behind SSEN-S: £524k</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18h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£582k/MW/yr</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Extended multi-day optimisation</w:t>
            </w:r>
            <w:r>
              <w:rPr>
                <w:rFonts w:ascii="Arial" w:hAnsi="Arial" w:cs="Arial"/>
              </w:rPr>
            </w:r>
            <w:r>
              <w:rPr>
                <w:rFonts w:ascii="Arial" w:hAnsi="Arial" w:cs="Arial"/>
              </w:rPr>
            </w:r>
          </w:p>
        </w:tc>
      </w:tr>
    </w:tbl>
    <w:p>
      <w:pPr>
        <w:pStyle w:val="872"/>
        <w:pBdr/>
        <w:spacing/>
        <w:ind/>
        <w:rPr>
          <w:rFonts w:ascii="Arial" w:hAnsi="Arial" w:cs="Arial"/>
        </w:rPr>
      </w:pPr>
      <w:r>
        <w:rPr>
          <w:rFonts w:ascii="Arial" w:hAnsi="Arial" w:eastAsia="Arial" w:cs="Arial"/>
          <w:b/>
          <w:bCs/>
        </w:rPr>
        <w:t xml:space="preserve">Regression results:</w:t>
      </w:r>
      <w:r>
        <w:rPr>
          <w:rFonts w:ascii="Arial" w:hAnsi="Arial" w:cs="Arial"/>
        </w:rPr>
      </w:r>
      <w:r>
        <w:rPr>
          <w:rFonts w:ascii="Arial" w:hAnsi="Arial" w:cs="Arial"/>
        </w:rPr>
      </w:r>
    </w:p>
    <w:tbl>
      <w:tblPr>
        <w:tblStyle w:val="906"/>
        <w:tblW w:w="0" w:type="auto"/>
        <w:tblBorders/>
        <w:tblLook w:val="0020" w:firstRow="1" w:lastRow="0" w:firstColumn="0" w:lastColumn="0" w:noHBand="0" w:noVBand="0"/>
      </w:tblPr>
      <w:tblGrid>
        <w:gridCol w:w="3960"/>
        <w:gridCol w:w="3960"/>
      </w:tblGrid>
      <w:tr>
        <w:trPr>
          <w:tblHeader/>
        </w:trPr>
        <w:tc>
          <w:tcPr>
            <w:tcBorders/>
          </w:tcPr>
          <w:p>
            <w:pPr>
              <w:pStyle w:val="874"/>
              <w:pBdr/>
              <w:spacing/>
              <w:ind/>
              <w:rPr>
                <w:rFonts w:ascii="Arial" w:hAnsi="Arial" w:cs="Arial"/>
              </w:rPr>
            </w:pPr>
            <w:r>
              <w:rPr>
                <w:rFonts w:ascii="Arial" w:hAnsi="Arial" w:eastAsia="Arial" w:cs="Arial"/>
              </w:rPr>
              <w:t xml:space="preserve">Variable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Coefficient</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Intercept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-£51k/MW/yr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Duration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£27.8k/MW/yr per hour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RRT exposure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£127k/MW/yr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Model R²</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0.999</w:t>
            </w:r>
            <w:r>
              <w:rPr>
                <w:rFonts w:ascii="Arial" w:hAnsi="Arial" w:cs="Arial"/>
              </w:rPr>
            </w:r>
            <w:r>
              <w:rPr>
                <w:rFonts w:ascii="Arial" w:hAnsi="Arial" w:cs="Arial"/>
              </w:rPr>
            </w:r>
          </w:p>
        </w:tc>
      </w:tr>
    </w:tbl>
    <w:p w14:paraId="249B7B33">
      <w:pPr>
        <w:pStyle w:val="872"/>
        <w:pBdr/>
        <w:spacing/>
        <w:ind/>
        <w:rPr>
          <w:rFonts w:ascii="Arial" w:hAnsi="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354598E2">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606485BF">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82E9949">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2E498C05">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568E123A">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0FEC5DFB">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401F2E11">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3D703B75">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48BA712">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20BC71C4">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20BFCEEF">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pStyle w:val="872"/>
        <w:pBdr/>
        <w:spacing/>
        <w:ind/>
        <w:rPr>
          <w:rFonts w:ascii="Arial" w:hAnsi="Arial" w:eastAsia="Arial" w:cs="Arial"/>
          <w:highlight w:val="none"/>
        </w:rPr>
      </w:pPr>
      <w:r>
        <w:rPr>
          <w:rFonts w:ascii="Arial" w:hAnsi="Arial" w:eastAsia="Arial" w:cs="Arial"/>
          <w:b/>
          <w:bCs/>
        </w:rPr>
        <w:t xml:space="preserve">Figure 1 plots Li-ion project duration against modelled equivalent a</w:t>
      </w:r>
      <w:r>
        <w:rPr>
          <w:rFonts w:ascii="Arial" w:hAnsi="Arial" w:eastAsia="Arial" w:cs="Arial"/>
          <w:b/>
          <w:bCs/>
        </w:rPr>
        <w:t xml:space="preserve">nnual residual support requirement.</w:t>
      </w:r>
      <w:r>
        <w:rPr>
          <w:rFonts w:ascii="Arial" w:hAnsi="Arial" w:eastAsia="Arial" w:cs="Arial"/>
        </w:rPr>
        <w:t xml:space="preserve"> The visual separation between the non-RRT and RRT-exposed model lines shows why duration should be treated as a continuous calibration variable within technology classes, rather than only as a technology-level attribute.</w:t>
      </w:r>
      <w:r>
        <w:rPr>
          <w:rFonts w:ascii="Arial" w:hAnsi="Arial" w:cs="Arial"/>
        </w:rPr>
      </w:r>
      <w:r>
        <w:rPr>
          <w:rFonts w:ascii="Arial" w:hAnsi="Arial" w:cs="Arial"/>
          <w:highlight w:val="none"/>
        </w:rPr>
      </w:r>
    </w:p>
    <w:p w14:paraId="67EAF8B9">
      <w:pPr>
        <w:pStyle w:val="872"/>
        <w:pBdr/>
        <w:spacing/>
        <w:ind/>
        <w:rPr>
          <w:rFonts w:ascii="Arial" w:hAnsi="Arial" w:cs="Arial"/>
        </w:rPr>
      </w:pPr>
      <w:r>
        <w:rPr>
          <w:rFonts w:ascii="Arial" w:hAnsi="Arial" w:cs="Arial"/>
        </w:rPr>
      </w:r>
      <w:r>
        <w:rPr>
          <w:rFonts w:ascii="Arial" w:hAnsi="Arial" w:cs="Arial"/>
        </w:rPr>
        <mc:AlternateContent>
          <mc:Choice Requires="wpg">
            <w:drawing>
              <wp:inline xmlns:wp="http://schemas.openxmlformats.org/drawingml/2006/wordprocessingDrawing" distT="0" distB="0" distL="0" distR="0">
                <wp:extent cx="5940425" cy="385772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8604" name=""/>
                        <pic:cNvPicPr>
                          <a:picLocks noChangeAspect="1"/>
                        </pic:cNvPicPr>
                        <pic:nvPr/>
                      </pic:nvPicPr>
                      <pic:blipFill rotWithShape="1">
                        <a:blip r:embed="rId9"/>
                        <a:stretch/>
                      </pic:blipFill>
                      <pic:spPr bwMode="auto">
                        <a:xfrm>
                          <a:off x="0" y="0"/>
                          <a:ext cx="5940424" cy="3857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303.76pt;mso-wrap-distance-left:0.00pt;mso-wrap-distance-top:0.00pt;mso-wrap-distance-right:0.00pt;mso-wrap-distance-bottom:0.00pt;z-index:1;" stroked="false">
                <v:imagedata r:id="rId9" o:title=""/>
                <o:lock v:ext="edit" rotation="t"/>
              </v:shape>
            </w:pict>
          </mc:Fallback>
        </mc:AlternateConten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Figure 1 — Duration coefficient within Li-ion.</w:t>
      </w:r>
      <w:r>
        <w:rPr>
          <w:rFonts w:ascii="Arial" w:hAnsi="Arial" w:eastAsia="Arial" w:cs="Arial"/>
        </w:rPr>
        <w:t xml:space="preserve"> </w:t>
      </w:r>
      <w:r>
        <w:rPr>
          <w:rFonts w:ascii="Arial" w:hAnsi="Arial" w:eastAsia="Arial" w:cs="Arial"/>
        </w:rPr>
        <w:t xml:space="preserve">Modelled equivalent annual residual support requirement for the 11</w:t>
      </w:r>
      <w:r>
        <w:rPr>
          <w:rFonts w:ascii="Arial" w:hAnsi="Arial" w:eastAsia="Arial" w:cs="Arial"/>
        </w:rPr>
        <w:t xml:space="preserve"> Li-ion Window 1 projects. Marker size scales with MW capacity. The fitted relationship implies approximately £27.8k/MW/yr per additional hour of duration within the modelled 8–18h Li-ion range, with a separate upward shift for RRT/SSEN-S-exposed projects.</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rPr>
        <w:t xml:space="preserve">Within our paramet</w:t>
      </w:r>
      <w:r>
        <w:rPr>
          <w:rFonts w:ascii="Arial" w:hAnsi="Arial" w:eastAsia="Arial" w:cs="Arial"/>
        </w:rPr>
        <w:t xml:space="preserve">erisation, each additional hour of duration adds £27.8k/MW/yr to the modelled equivalent annual residual support requirement. This continuous relationship provides evidence that duration should be an explicit calibration variable within technology classes.</w:t>
      </w:r>
      <w:bookmarkEnd w:id="30"/>
      <w:r>
        <w:rPr>
          <w:rFonts w:ascii="Arial" w:hAnsi="Arial" w:cs="Arial"/>
        </w:rPr>
      </w:r>
      <w:r>
        <w:rPr>
          <w:rFonts w:ascii="Arial" w:hAnsi="Arial" w:cs="Arial"/>
        </w:rPr>
      </w:r>
    </w:p>
    <w:p>
      <w:pPr>
        <w:pStyle w:val="886"/>
        <w:pBdr/>
        <w:spacing/>
        <w:ind/>
        <w:rPr>
          <w:rFonts w:ascii="Arial" w:hAnsi="Arial" w:cs="Arial"/>
          <w:b/>
          <w:bCs/>
        </w:rPr>
      </w:pPr>
      <w:r>
        <w:rPr>
          <w:rFonts w:ascii="Arial" w:hAnsi="Arial" w:eastAsia="Arial" w:cs="Arial"/>
        </w:rPr>
      </w:r>
      <w:bookmarkStart w:id="31" w:name="geographic-premium-location-matters"/>
      <w:r>
        <w:rPr>
          <w:rFonts w:ascii="Arial" w:hAnsi="Arial" w:eastAsia="Arial" w:cs="Arial"/>
          <w:b/>
          <w:bCs/>
        </w:rPr>
        <w:t xml:space="preserve">4.2 Geographic Premium</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rPr>
      </w:r>
      <w:r>
        <w:rPr>
          <w:rFonts w:ascii="Arial" w:hAnsi="Arial" w:eastAsia="Arial" w:cs="Arial"/>
        </w:rPr>
        <w:t xml:space="preserve">Li‑ion projects behind SSEN‑S require 29–30% more modelled support than duration‑controlled baselines. The model structure links curtailment exposure to duration resilience. Balancing Mechanism redispatch may reduce the true premium, so the estimate should </w:t>
      </w:r>
      <w:r>
        <w:rPr>
          <w:rFonts w:ascii="Arial" w:hAnsi="Arial" w:eastAsia="Arial" w:cs="Arial"/>
        </w:rPr>
        <w:t xml:space="preserve">be treated as an upper bound.</w:t>
      </w:r>
      <w:r>
        <w:rPr>
          <w:rFonts w:ascii="Arial" w:hAnsi="Arial" w:eastAsia="Arial" w:cs="Arial"/>
        </w:rPr>
      </w:r>
      <w:r>
        <w:rPr>
          <w:rFonts w:ascii="Arial" w:hAnsi="Arial" w:cs="Arial"/>
        </w:rPr>
      </w:r>
    </w:p>
    <w:p w14:paraId="1B0E438E">
      <w:pPr>
        <w:pStyle w:val="872"/>
        <w:pBdr/>
        <w:spacing/>
        <w:ind/>
        <w:rPr/>
      </w:pPr>
      <w:r/>
      <w:r/>
      <w:r/>
    </w:p>
    <w:p w14:paraId="5EF51279">
      <w:pPr>
        <w:pStyle w:val="872"/>
        <w:pBdr/>
        <w:spacing/>
        <w:ind/>
        <w:rPr/>
      </w:pPr>
      <w:r/>
      <w:r/>
      <w:r/>
    </w:p>
    <w:p w14:paraId="78A091B7">
      <w:pPr>
        <w:pStyle w:val="872"/>
        <w:pBdr/>
        <w:spacing/>
        <w:ind/>
        <w:rPr/>
      </w:pPr>
      <w:r>
        <w:rPr>
          <w:rFonts w:ascii="Arial" w:hAnsi="Arial" w:eastAsia="Arial" w:cs="Arial"/>
        </w:rPr>
      </w:r>
      <w:r>
        <w:rPr>
          <w:rFonts w:ascii="Arial" w:hAnsi="Arial" w:cs="Arial"/>
        </w:rPr>
      </w:r>
      <w:r/>
    </w:p>
    <w:tbl>
      <w:tblPr>
        <w:tblStyle w:val="906"/>
        <w:tblW w:w="5000" w:type="pct"/>
        <w:tblBorders/>
        <w:tblLayout w:type="fixed"/>
        <w:tblLook w:val="0020" w:firstRow="1" w:lastRow="0" w:firstColumn="0" w:lastColumn="0" w:noHBand="0" w:noVBand="0"/>
      </w:tblPr>
      <w:tblGrid>
        <w:gridCol w:w="1320"/>
        <w:gridCol w:w="1760"/>
        <w:gridCol w:w="1320"/>
        <w:gridCol w:w="1760"/>
        <w:gridCol w:w="1760"/>
      </w:tblGrid>
      <w:tr>
        <w:trPr>
          <w:tblHeader/>
        </w:trPr>
        <w:tc>
          <w:tcPr>
            <w:tcBorders/>
          </w:tcPr>
          <w:p>
            <w:pPr>
              <w:pStyle w:val="874"/>
              <w:pBdr/>
              <w:spacing/>
              <w:ind/>
              <w:rPr>
                <w:rFonts w:ascii="Arial" w:hAnsi="Arial" w:cs="Arial"/>
              </w:rPr>
            </w:pPr>
            <w:r>
              <w:rPr>
                <w:rFonts w:ascii="Arial" w:hAnsi="Arial" w:eastAsia="Arial" w:cs="Arial"/>
              </w:rPr>
              <w:t xml:space="preserve">Project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Duration</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Location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Modelled Equivalent Annual Residual Support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Premium vs Baseline</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Netherton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16.3h</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North Scotland (RRT)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£524k/MW/yr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+30.1%</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Fyrish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16.5h</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North Scotland (RRT)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£530k/MW/yr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+29.9%</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New Deer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18.0h</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North Scotland (RRT)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£582k/MW/yr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+29.3%</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Rigifa</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18.0h</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North Scotland (RRT)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£582k/MW/yr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+29.3%</w:t>
            </w:r>
            <w:r>
              <w:rPr>
                <w:rFonts w:ascii="Arial" w:hAnsi="Arial" w:cs="Arial"/>
              </w:rPr>
            </w:r>
            <w:r>
              <w:rPr>
                <w:rFonts w:ascii="Arial" w:hAnsi="Arial" w:cs="Arial"/>
              </w:rPr>
            </w:r>
          </w:p>
        </w:tc>
      </w:tr>
    </w:tbl>
    <w:p>
      <w:pPr>
        <w:pStyle w:val="872"/>
        <w:pBdr/>
        <w:spacing/>
        <w:ind/>
        <w:rPr>
          <w:rFonts w:ascii="Arial" w:hAnsi="Arial" w:cs="Arial"/>
          <w:highlight w:val="none"/>
        </w:rPr>
      </w:pPr>
      <w:r>
        <w:rPr>
          <w:rFonts w:ascii="Arial" w:hAnsi="Arial" w:eastAsia="Arial" w:cs="Arial"/>
          <w:b/>
          <w:bCs/>
        </w:rPr>
        <w:t xml:space="preserve">Figure</w:t>
      </w:r>
      <w:r>
        <w:rPr>
          <w:rFonts w:ascii="Arial" w:hAnsi="Arial" w:eastAsia="Arial" w:cs="Arial"/>
          <w:b/>
          <w:bCs/>
        </w:rPr>
        <w:t xml:space="preserve"> 2 compares each RRT-exposed Li-ion project with the duration-controlled non-RRT baseline implied by the Li-ion duration coefficient.</w:t>
      </w:r>
      <w:r>
        <w:rPr>
          <w:rFonts w:ascii="Arial" w:hAnsi="Arial" w:eastAsia="Arial" w:cs="Arial"/>
        </w:rPr>
        <w:t xml:space="preserve"> The result is a consistent uplift of approximately 29–30%, illustrating the materiality of geographic constraint exposure.</w:t>
      </w:r>
      <w:r>
        <w:rPr>
          <w:rFonts w:ascii="Arial" w:hAnsi="Arial" w:cs="Arial"/>
        </w:rPr>
      </w:r>
      <w:r>
        <w:rPr>
          <w:rFonts w:ascii="Arial" w:hAnsi="Arial" w:cs="Arial"/>
          <w:highlight w:val="none"/>
        </w:rPr>
      </w:r>
    </w:p>
    <w:p w14:paraId="6364F2B3">
      <w:pPr>
        <w:pStyle w:val="872"/>
        <w:pBdr/>
        <w:spacing/>
        <w:ind/>
        <w:rPr>
          <w:rFonts w:ascii="Arial" w:hAnsi="Arial" w:cs="Arial"/>
        </w:rPr>
      </w:pPr>
      <w:r>
        <w:rPr>
          <w:rFonts w:ascii="Arial" w:hAnsi="Arial" w:cs="Arial"/>
        </w:rPr>
      </w:r>
      <w:r>
        <w:rPr>
          <w:rFonts w:ascii="Arial" w:hAnsi="Arial" w:cs="Arial"/>
        </w:rPr>
        <mc:AlternateContent>
          <mc:Choice Requires="wpg">
            <w:drawing>
              <wp:inline xmlns:wp="http://schemas.openxmlformats.org/drawingml/2006/wordprocessingDrawing" distT="0" distB="0" distL="0" distR="0">
                <wp:extent cx="5940425" cy="383227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87486" name=""/>
                        <pic:cNvPicPr>
                          <a:picLocks noChangeAspect="1"/>
                        </pic:cNvPicPr>
                        <pic:nvPr/>
                      </pic:nvPicPr>
                      <pic:blipFill rotWithShape="1">
                        <a:blip r:embed="rId10"/>
                        <a:stretch/>
                      </pic:blipFill>
                      <pic:spPr bwMode="auto">
                        <a:xfrm>
                          <a:off x="0" y="0"/>
                          <a:ext cx="5940424" cy="3832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01.75pt;mso-wrap-distance-left:0.00pt;mso-wrap-distance-top:0.00pt;mso-wrap-distance-right:0.00pt;mso-wrap-distance-bottom:0.00pt;z-index:1;" stroked="false">
                <v:imagedata r:id="rId10" o:title=""/>
                <o:lock v:ext="edit" rotation="t"/>
              </v:shape>
            </w:pict>
          </mc:Fallback>
        </mc:AlternateConten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Figure 2 — Geographic premium for RRT-exposed Li-ion projects.</w:t>
      </w:r>
      <w:r>
        <w:rPr>
          <w:rFonts w:ascii="Arial" w:hAnsi="Arial" w:eastAsia="Arial" w:cs="Arial"/>
        </w:rPr>
        <w:t xml:space="preserve"> </w:t>
      </w:r>
      <w:r>
        <w:rPr>
          <w:rFonts w:ascii="Arial" w:hAnsi="Arial" w:eastAsia="Arial" w:cs="Arial"/>
        </w:rPr>
        <w:t xml:space="preserve">Duration-c</w:t>
      </w:r>
      <w:r>
        <w:rPr>
          <w:rFonts w:ascii="Arial" w:hAnsi="Arial" w:eastAsia="Arial" w:cs="Arial"/>
        </w:rPr>
        <w:t xml:space="preserve">ontrolled comparison between the non-RRT baseline implied by the Li-ion duration coefficient and the modelled support requirement for RRT/SSEN-S-exposed projects. The exposed projects sit approximately 29–30% above the duration-controlled non-RRT baseline.</w:t>
      </w:r>
      <w:r>
        <w:rPr>
          <w:rFonts w:ascii="Arial" w:hAnsi="Arial" w:cs="Arial"/>
        </w:rPr>
      </w:r>
      <w:r>
        <w:rPr>
          <w:rFonts w:ascii="Arial" w:hAnsi="Arial" w:cs="Arial"/>
        </w:rPr>
      </w:r>
    </w:p>
    <w:p w14:paraId="56307DD3">
      <w:pPr>
        <w:pStyle w:val="872"/>
        <w:pBdr/>
        <w:spacing/>
        <w:ind/>
        <w:rPr>
          <w:rFonts w:ascii="Arial" w:hAnsi="Arial" w:eastAsia="Arial" w:cs="Arial"/>
          <w:b/>
          <w:bCs/>
          <w:highlight w:val="none"/>
        </w:rPr>
      </w:pPr>
      <w:r>
        <w:rPr>
          <w:rFonts w:ascii="Arial" w:hAnsi="Arial" w:eastAsia="Arial" w:cs="Arial"/>
          <w:b/>
          <w:bCs/>
          <w:highlight w:val="none"/>
        </w:rPr>
      </w:r>
      <w:r>
        <w:rPr>
          <w:rFonts w:ascii="Arial" w:hAnsi="Arial" w:eastAsia="Arial" w:cs="Arial"/>
          <w:b/>
          <w:bCs/>
          <w:highlight w:val="none"/>
        </w:rPr>
      </w:r>
      <w:r>
        <w:rPr>
          <w:rFonts w:ascii="Arial" w:hAnsi="Arial" w:eastAsia="Arial" w:cs="Arial"/>
          <w:b/>
          <w:bCs/>
          <w:highlight w:val="none"/>
        </w:rPr>
      </w:r>
    </w:p>
    <w:p>
      <w:pPr>
        <w:pStyle w:val="872"/>
        <w:pBdr/>
        <w:spacing/>
        <w:ind/>
        <w:rPr>
          <w:rFonts w:ascii="Arial" w:hAnsi="Arial" w:eastAsia="Arial" w:cs="Arial"/>
          <w:b/>
          <w:bCs/>
          <w:highlight w:val="none"/>
        </w:rPr>
      </w:pPr>
      <w:r>
        <w:rPr>
          <w:rFonts w:ascii="Arial" w:hAnsi="Arial" w:eastAsia="Arial" w:cs="Arial"/>
          <w:b/>
          <w:bCs/>
        </w:rPr>
        <w:t xml:space="preserve">Model structure:</w:t>
      </w:r>
      <w:r>
        <w:rPr>
          <w:rFonts w:ascii="Arial" w:hAnsi="Arial" w:cs="Arial"/>
        </w:rPr>
      </w:r>
      <w:r>
        <w:rPr>
          <w:rFonts w:ascii="Arial" w:hAnsi="Arial" w:cs="Arial"/>
        </w:rPr>
      </w:r>
    </w:p>
    <w:p>
      <w:pPr>
        <w:pStyle w:val="920"/>
        <w:pBdr/>
        <w:spacing/>
        <w:ind/>
        <w:rPr>
          <w:rFonts w:ascii="Arial" w:hAnsi="Arial" w:cs="Arial"/>
        </w:rPr>
      </w:pPr>
      <w:r>
        <w:rPr>
          <w:rStyle w:val="915"/>
          <w:rFonts w:ascii="Arial" w:hAnsi="Arial" w:eastAsia="Arial" w:cs="Arial"/>
        </w:rPr>
        <w:t xml:space="preserve">duration_resilience = min(1.0, duration_hours / 24.0)</w:t>
      </w:r>
      <w:r>
        <w:rPr>
          <w:rFonts w:ascii="Arial" w:hAnsi="Arial" w:eastAsia="Arial" w:cs="Arial"/>
        </w:rPr>
        <w:br/>
      </w:r>
      <w:r>
        <w:rPr>
          <w:rFonts w:ascii="Arial" w:hAnsi="Arial" w:eastAsia="Arial" w:cs="Arial"/>
        </w:rPr>
        <w:br/>
      </w:r>
      <w:r>
        <w:rPr>
          <w:rStyle w:val="915"/>
          <w:rFonts w:ascii="Arial" w:hAnsi="Arial" w:eastAsia="Arial" w:cs="Arial"/>
        </w:rPr>
        <w:t xml:space="preserve">curtailment_loss_factor = rrt_persistence_score × (1 - duration_resilience)</w:t>
      </w:r>
      <w:r>
        <w:rPr>
          <w:rFonts w:ascii="Arial" w:hAnsi="Arial" w:eastAsia="Arial" w:cs="Arial"/>
        </w:rPr>
        <w:br/>
      </w:r>
      <w:r>
        <w:rPr>
          <w:rFonts w:ascii="Arial" w:hAnsi="Arial" w:eastAsia="Arial" w:cs="Arial"/>
        </w:rPr>
        <w:br/>
      </w:r>
      <w:r>
        <w:rPr>
          <w:rStyle w:val="915"/>
          <w:rFonts w:ascii="Arial" w:hAnsi="Arial" w:eastAsia="Arial" w:cs="Arial"/>
        </w:rPr>
        <w:t xml:space="preserve">delivered_fraction = 1 - curtailment_loss_factor</w:t>
      </w:r>
      <w:r>
        <w:rPr>
          <w:rFonts w:ascii="Arial" w:hAnsi="Arial" w:eastAsia="Arial" w:cs="Arial"/>
        </w:rPr>
        <w:br/>
      </w:r>
      <w:r>
        <w:rPr>
          <w:rFonts w:ascii="Arial" w:hAnsi="Arial" w:eastAsia="Arial" w:cs="Arial"/>
        </w:rPr>
        <w:br/>
      </w:r>
      <w:r>
        <w:rPr>
          <w:rStyle w:val="915"/>
          <w:rFonts w:ascii="Arial" w:hAnsi="Arial" w:eastAsia="Arial" w:cs="Arial"/>
        </w:rPr>
        <w:t xml:space="preserve">LCOS adjustment = total_annual_cost / adjusted_mwh_delivered</w:t>
      </w:r>
      <w:r>
        <w:rPr>
          <w:rFonts w:ascii="Arial" w:hAnsi="Arial" w:cs="Arial"/>
        </w:rPr>
      </w:r>
      <w:r>
        <w:rPr>
          <w:rFonts w:ascii="Arial" w:hAnsi="Arial" w:cs="Arial"/>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rPr>
      </w:r>
    </w:p>
    <w:p>
      <w:pPr>
        <w:pStyle w:val="873"/>
        <w:pBdr/>
        <w:spacing/>
        <w:ind/>
        <w:rPr>
          <w:rFonts w:ascii="Arial" w:hAnsi="Arial" w:eastAsia="Arial" w:cs="Arial"/>
          <w:highlight w:val="none"/>
        </w:rPr>
      </w:pPr>
      <w:r>
        <w:rPr>
          <w:rFonts w:ascii="Arial" w:hAnsi="Arial" w:eastAsia="Arial" w:cs="Arial"/>
        </w:rPr>
        <w:t xml:space="preserve">The</w:t>
      </w:r>
      <w:r>
        <w:rPr>
          <w:rFonts w:ascii="Arial" w:hAnsi="Arial" w:eastAsia="Arial" w:cs="Arial"/>
        </w:rPr>
        <w:t xml:space="preserve"> </w:t>
      </w:r>
      <w:r>
        <w:rPr>
          <w:rStyle w:val="915"/>
          <w:rFonts w:ascii="Arial" w:hAnsi="Arial" w:eastAsia="Arial" w:cs="Arial"/>
        </w:rPr>
        <w:t xml:space="preserve">rrt_persistence_score</w:t>
      </w:r>
      <w:r>
        <w:rPr>
          <w:rFonts w:ascii="Arial" w:hAnsi="Arial" w:eastAsia="Arial" w:cs="Arial"/>
        </w:rPr>
        <w:t xml:space="preserve"> </w:t>
      </w:r>
      <w:r>
        <w:rPr>
          <w:rFonts w:ascii="Arial" w:hAnsi="Arial" w:eastAsia="Arial" w:cs="Arial"/>
        </w:rPr>
        <w:t xml:space="preserve">of 0.82 represents the proportion of hours when constraints are active. A zero-duration asset would face 82% curtailment loss. Longer-duration assets mitigate this loss proportionally through their ability</w:t>
      </w:r>
      <w:r>
        <w:rPr>
          <w:rFonts w:ascii="Arial" w:hAnsi="Arial" w:eastAsia="Arial" w:cs="Arial"/>
        </w:rPr>
        <w:t xml:space="preserve"> to time-shift discharge to unconstrained hours. For example, Coire Glas, with 32h duration and 100% resilience, faces 0% loss; Loch Kemp, with 22h duration and 93% resilience, faces 6% loss; and Earba, with 15h duration and 63% resilience, faces 31% loss.</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Important caveat — Balancing Mechanism redispatch:</w:t>
      </w:r>
      <w:r>
        <w:rPr>
          <w:rFonts w:ascii="Arial" w:hAnsi="Arial" w:eastAsia="Arial" w:cs="Arial"/>
        </w:rPr>
        <w:br/>
      </w:r>
      <w:r>
        <w:rPr>
          <w:rFonts w:ascii="Arial" w:hAnsi="Arial" w:eastAsia="Arial" w:cs="Arial"/>
        </w:rPr>
        <w:t xml:space="preserve">The model assumes full curtailment exposure during constraint-active hours for SSEN-S. The magnitude may be overstated if partial Balancing Mechanism redispatch revenu</w:t>
      </w:r>
      <w:r>
        <w:rPr>
          <w:rFonts w:ascii="Arial" w:hAnsi="Arial" w:eastAsia="Arial" w:cs="Arial"/>
        </w:rPr>
        <w:t xml:space="preserve">e is available during constraint events, in which case the true geographic premium would be lower than 30%. The current model treats BM redispatch revenue as zero during constraint periods, which represents an upper-bound estimate of the geographic effect.</w:t>
      </w:r>
      <w:bookmarkEnd w:id="31"/>
      <w:r>
        <w:rPr>
          <w:rFonts w:ascii="Arial" w:hAnsi="Arial" w:cs="Arial"/>
        </w:rPr>
      </w:r>
      <w:r>
        <w:rPr>
          <w:rFonts w:ascii="Arial" w:hAnsi="Arial" w:cs="Arial"/>
        </w:rPr>
      </w:r>
    </w:p>
    <w:p>
      <w:pPr>
        <w:pStyle w:val="886"/>
        <w:pBdr/>
        <w:spacing/>
        <w:ind/>
        <w:rPr>
          <w:rFonts w:ascii="Arial" w:hAnsi="Arial" w:cs="Arial"/>
          <w:b/>
          <w:bCs/>
        </w:rPr>
      </w:pPr>
      <w:r>
        <w:rPr>
          <w:rFonts w:ascii="Arial" w:hAnsi="Arial" w:eastAsia="Arial" w:cs="Arial"/>
        </w:rPr>
      </w:r>
      <w:bookmarkStart w:id="32" w:name="X2fabedb9f7cb1eb06c08ca4b1f94ee5bf2ef94c"/>
      <w:r>
        <w:rPr>
          <w:rFonts w:ascii="Arial" w:hAnsi="Arial" w:eastAsia="Arial" w:cs="Arial"/>
          <w:b/>
          <w:bCs/>
        </w:rPr>
        <w:t xml:space="preserve">4.3 PSH Support Requirement</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rPr>
      </w:r>
      <w:r>
        <w:rPr>
          <w:rFonts w:ascii="Arial" w:hAnsi="Arial" w:eastAsia="Arial" w:cs="Arial"/>
        </w:rPr>
        <w:t xml:space="preserve">PSH projects show robust near‑zero modelled residual support under central assumptions and under IDC stress tests. Key drivers include low energy‑capacity cost, long duration, and a low lifecycle multiplier. External benchmarks (e.g., Snowy 2.0) support the</w:t>
      </w:r>
      <w:r>
        <w:rPr>
          <w:rFonts w:ascii="Arial" w:hAnsi="Arial" w:eastAsia="Arial" w:cs="Arial"/>
        </w:rPr>
        <w:t xml:space="preserve"> plausibility of the assumed cost range.</w:t>
      </w:r>
      <w:r>
        <w:rPr>
          <w:rFonts w:ascii="Arial" w:hAnsi="Arial" w:eastAsia="Arial" w:cs="Arial"/>
        </w:rPr>
      </w:r>
      <w:r>
        <w:rPr>
          <w:rFonts w:ascii="Arial" w:hAnsi="Arial" w:cs="Arial"/>
        </w:rPr>
      </w:r>
    </w:p>
    <w:tbl>
      <w:tblPr>
        <w:tblStyle w:val="906"/>
        <w:tblW w:w="5000" w:type="pct"/>
        <w:tblBorders/>
        <w:tblLayout w:type="fixed"/>
        <w:tblLook w:val="0020" w:firstRow="1" w:lastRow="0" w:firstColumn="0" w:lastColumn="0" w:noHBand="0" w:noVBand="0"/>
      </w:tblPr>
      <w:tblGrid>
        <w:gridCol w:w="1584"/>
        <w:gridCol w:w="2112"/>
        <w:gridCol w:w="2112"/>
        <w:gridCol w:w="2112"/>
      </w:tblGrid>
      <w:tr>
        <w:trPr>
          <w:tblHeader/>
        </w:trPr>
        <w:tc>
          <w:tcPr>
            <w:tcBorders/>
          </w:tcPr>
          <w:p>
            <w:pPr>
              <w:pStyle w:val="874"/>
              <w:pBdr/>
              <w:spacing/>
              <w:ind/>
              <w:rPr>
                <w:rFonts w:ascii="Arial" w:hAnsi="Arial" w:cs="Arial"/>
              </w:rPr>
            </w:pPr>
            <w:r>
              <w:rPr>
                <w:rFonts w:ascii="Arial" w:hAnsi="Arial" w:eastAsia="Arial" w:cs="Arial"/>
              </w:rPr>
              <w:t xml:space="preserve">Project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Duration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Curtailment Loss</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Modelled Equivalent Annual Residual Support</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Coire Glas</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32h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 (100% resilience)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£0k/MW/yr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Loch Kemp Storage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22h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6% (93% resilience)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£0k/MW/yr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Earba</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15h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31% (63% resilience)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£0k/MW/yr</w:t>
            </w:r>
            <w:r>
              <w:rPr>
                <w:rFonts w:ascii="Arial" w:hAnsi="Arial" w:cs="Arial"/>
              </w:rPr>
            </w:r>
            <w:r>
              <w:rPr>
                <w:rFonts w:ascii="Arial" w:hAnsi="Arial" w:cs="Arial"/>
              </w:rPr>
            </w:r>
          </w:p>
        </w:tc>
      </w:tr>
    </w:tbl>
    <w:p w14:paraId="011E4E78">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40523FE5">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016490C1">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6D87742C">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F6DCFBA">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3F1E4D63">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529826B4">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433C80F0">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pStyle w:val="872"/>
        <w:pBdr/>
        <w:spacing/>
        <w:ind/>
        <w:rPr>
          <w:rFonts w:ascii="Arial" w:hAnsi="Arial" w:eastAsia="Arial" w:cs="Arial"/>
          <w:highlight w:val="none"/>
        </w:rPr>
      </w:pPr>
      <w:r>
        <w:rPr>
          <w:rFonts w:ascii="Arial" w:hAnsi="Arial" w:eastAsia="Arial" w:cs="Arial"/>
          <w:b/>
          <w:bCs/>
        </w:rPr>
        <w:t xml:space="preserve">Figure 3 plac</w:t>
      </w:r>
      <w:r>
        <w:rPr>
          <w:rFonts w:ascii="Arial" w:hAnsi="Arial" w:eastAsia="Arial" w:cs="Arial"/>
          <w:b/>
          <w:bCs/>
        </w:rPr>
        <w:t xml:space="preserve">es the PSH, CAES, VFB/Zn and Li-ion projects on the same duration/support axes.</w:t>
      </w:r>
      <w:r>
        <w:rPr>
          <w:rFonts w:ascii="Arial" w:hAnsi="Arial" w:eastAsia="Arial" w:cs="Arial"/>
        </w:rPr>
        <w:t xml:space="preserve"> The chart shows that PSH does not sit on the Li-ion support curve: it occupies a distinct region with long duration and zero modelled residual top-up under central assumptions.</w:t>
      </w:r>
      <w:r>
        <w:rPr>
          <w:rFonts w:ascii="Arial" w:hAnsi="Arial" w:cs="Arial"/>
        </w:rPr>
      </w:r>
      <w:r>
        <w:rPr>
          <w:rFonts w:ascii="Arial" w:hAnsi="Arial" w:cs="Arial"/>
          <w:highlight w:val="none"/>
        </w:rPr>
      </w:r>
    </w:p>
    <w:p w14:paraId="0ED08CDF">
      <w:pPr>
        <w:pStyle w:val="872"/>
        <w:pBdr/>
        <w:spacing/>
        <w:ind/>
        <w:rPr>
          <w:rFonts w:ascii="Arial" w:hAnsi="Arial" w:cs="Arial"/>
        </w:rPr>
      </w:pPr>
      <w:r>
        <w:rPr>
          <w:rFonts w:ascii="Arial" w:hAnsi="Arial" w:cs="Arial"/>
        </w:rPr>
      </w:r>
      <w:r>
        <w:rPr>
          <w:rFonts w:ascii="Arial" w:hAnsi="Arial" w:cs="Arial"/>
        </w:rPr>
        <mc:AlternateContent>
          <mc:Choice Requires="wpg">
            <w:drawing>
              <wp:inline xmlns:wp="http://schemas.openxmlformats.org/drawingml/2006/wordprocessingDrawing" distT="0" distB="0" distL="0" distR="0">
                <wp:extent cx="5940425" cy="386285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2209" name=""/>
                        <pic:cNvPicPr>
                          <a:picLocks noChangeAspect="1"/>
                        </pic:cNvPicPr>
                        <pic:nvPr/>
                      </pic:nvPicPr>
                      <pic:blipFill rotWithShape="1">
                        <a:blip r:embed="rId11"/>
                        <a:stretch/>
                      </pic:blipFill>
                      <pic:spPr bwMode="auto">
                        <a:xfrm>
                          <a:off x="0" y="0"/>
                          <a:ext cx="5940424" cy="3862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04.16pt;mso-wrap-distance-left:0.00pt;mso-wrap-distance-top:0.00pt;mso-wrap-distance-right:0.00pt;mso-wrap-distance-bottom:0.00pt;z-index:1;" stroked="false">
                <v:imagedata r:id="rId11" o:title=""/>
                <o:lock v:ext="edit" rotation="t"/>
              </v:shape>
            </w:pict>
          </mc:Fallback>
        </mc:AlternateContent>
      </w:r>
      <w:r>
        <w:rPr>
          <w:rFonts w:ascii="Arial" w:hAnsi="Arial" w:cs="Arial"/>
        </w:rPr>
      </w:r>
      <w:r>
        <w:rPr>
          <w:rFonts w:ascii="Arial" w:hAnsi="Arial" w:cs="Arial"/>
        </w:rPr>
      </w:r>
    </w:p>
    <w:p w14:paraId="46583C32">
      <w:pPr>
        <w:pStyle w:val="872"/>
        <w:pBdr/>
        <w:spacing/>
        <w:ind/>
        <w:rPr>
          <w:rFonts w:ascii="Arial" w:hAnsi="Arial" w:cs="Arial"/>
        </w:rPr>
      </w:pPr>
      <w:r>
        <w:rPr>
          <w:rFonts w:ascii="Arial" w:hAnsi="Arial" w:cs="Arial"/>
          <w:highlight w:val="none"/>
        </w:rPr>
      </w:r>
      <w:r>
        <w:rPr>
          <w:rFonts w:ascii="Arial" w:hAnsi="Arial" w:cs="Arial"/>
          <w:highlight w:val="none"/>
        </w:rPr>
      </w:r>
      <w:r>
        <w:rPr>
          <w:rFonts w:ascii="Arial" w:hAnsi="Arial" w:cs="Arial"/>
        </w:rPr>
      </w:r>
    </w:p>
    <w:p>
      <w:pPr>
        <w:pStyle w:val="872"/>
        <w:pBdr/>
        <w:spacing/>
        <w:ind/>
        <w:rPr>
          <w:rFonts w:ascii="Arial" w:hAnsi="Arial" w:cs="Arial"/>
        </w:rPr>
      </w:pPr>
      <w:r>
        <w:rPr>
          <w:rFonts w:ascii="Arial" w:hAnsi="Arial" w:eastAsia="Arial" w:cs="Arial"/>
          <w:b/>
          <w:bCs/>
        </w:rPr>
        <w:t xml:space="preserve">Figure 3 — Technology divergence.</w:t>
      </w:r>
      <w:r>
        <w:rPr>
          <w:rFonts w:ascii="Arial" w:hAnsi="Arial" w:eastAsia="Arial" w:cs="Arial"/>
        </w:rPr>
        <w:t xml:space="preserve"> </w:t>
      </w:r>
      <w:r>
        <w:rPr>
          <w:rFonts w:ascii="Arial" w:hAnsi="Arial" w:eastAsia="Arial" w:cs="Arial"/>
        </w:rPr>
        <w:t xml:space="preserve">Project-level duration versus modelled equi</w:t>
      </w:r>
      <w:r>
        <w:rPr>
          <w:rFonts w:ascii="Arial" w:hAnsi="Arial" w:eastAsia="Arial" w:cs="Arial"/>
        </w:rPr>
        <w:t xml:space="preserve">valent annual residual support across the Window 1 portfolio. PSH projects occupy a distinct region of the chart: long duration and zero modelled residual top-up under central assumptions, while Li-ion projects follow a steep duration-linked support curve.</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Key drivers:</w:t>
      </w:r>
      <w:r>
        <w:rPr>
          <w:rFonts w:ascii="Arial" w:hAnsi="Arial" w:cs="Arial"/>
        </w:rPr>
      </w:r>
      <w:r>
        <w:rPr>
          <w:rFonts w:ascii="Arial" w:hAnsi="Arial" w:cs="Arial"/>
        </w:rPr>
      </w:r>
    </w:p>
    <w:p>
      <w:pPr>
        <w:pStyle w:val="874"/>
        <w:numPr>
          <w:ilvl w:val="0"/>
          <w:numId w:val="4"/>
        </w:numPr>
        <w:pBdr/>
        <w:spacing/>
        <w:ind/>
        <w:rPr>
          <w:rFonts w:ascii="Arial" w:hAnsi="Arial" w:cs="Arial"/>
        </w:rPr>
      </w:pPr>
      <w:r>
        <w:rPr>
          <w:rFonts w:ascii="Arial" w:hAnsi="Arial" w:eastAsia="Arial" w:cs="Arial"/>
        </w:rPr>
        <w:t xml:space="preserve">Low energy capacity cost: £20,000/MWh, compared with £250,000/MWh for Li-ion in this model.</w:t>
      </w:r>
      <w:r>
        <w:rPr>
          <w:rFonts w:ascii="Arial" w:hAnsi="Arial" w:cs="Arial"/>
        </w:rPr>
      </w:r>
      <w:r>
        <w:rPr>
          <w:rFonts w:ascii="Arial" w:hAnsi="Arial" w:cs="Arial"/>
        </w:rPr>
      </w:r>
    </w:p>
    <w:p>
      <w:pPr>
        <w:pStyle w:val="874"/>
        <w:numPr>
          <w:ilvl w:val="0"/>
          <w:numId w:val="4"/>
        </w:numPr>
        <w:pBdr/>
        <w:spacing/>
        <w:ind/>
        <w:rPr>
          <w:rFonts w:ascii="Arial" w:hAnsi="Arial" w:cs="Arial"/>
        </w:rPr>
      </w:pPr>
      <w:r>
        <w:rPr>
          <w:rFonts w:ascii="Arial" w:hAnsi="Arial" w:eastAsia="Arial" w:cs="Arial"/>
        </w:rPr>
        <w:t xml:space="preserve">Long duration: 15–32h enables high Capacity Market revenue and curtailment mitigation.</w:t>
      </w:r>
      <w:r>
        <w:rPr>
          <w:rFonts w:ascii="Arial" w:hAnsi="Arial" w:cs="Arial"/>
        </w:rPr>
      </w:r>
      <w:r>
        <w:rPr>
          <w:rFonts w:ascii="Arial" w:hAnsi="Arial" w:cs="Arial"/>
        </w:rPr>
      </w:r>
    </w:p>
    <w:p>
      <w:pPr>
        <w:pStyle w:val="874"/>
        <w:numPr>
          <w:ilvl w:val="0"/>
          <w:numId w:val="4"/>
        </w:numPr>
        <w:pBdr/>
        <w:spacing/>
        <w:ind/>
        <w:rPr>
          <w:rFonts w:ascii="Arial" w:hAnsi="Arial" w:cs="Arial"/>
        </w:rPr>
      </w:pPr>
      <w:r>
        <w:rPr>
          <w:rFonts w:ascii="Arial" w:hAnsi="Arial" w:eastAsia="Arial" w:cs="Arial"/>
        </w:rPr>
        <w:t xml:space="preserve">Low lifecycle multiplier: 1.15x, compared with 1.70x for Li-ion.</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b/>
          <w:bCs/>
        </w:rPr>
        <w:t xml:space="preserve">IDC stress test:</w:t>
      </w:r>
      <w:r>
        <w:rPr>
          <w:rFonts w:ascii="Arial" w:hAnsi="Arial" w:eastAsia="Arial" w:cs="Arial"/>
        </w:rPr>
        <w:br/>
      </w:r>
      <w:r>
        <w:rPr>
          <w:rFonts w:ascii="Arial" w:hAnsi="Arial" w:eastAsia="Arial" w:cs="Arial"/>
        </w:rPr>
        <w:t xml:space="preserve">PSH projects require 7–10 years of construction before generating revenue. We stress-tested the zero-floor finding by applying an IDC factor of 1.36x, representing an 8% WACC over</w:t>
      </w:r>
      <w:r>
        <w:rPr>
          <w:rFonts w:ascii="Arial" w:hAnsi="Arial" w:eastAsia="Arial" w:cs="Arial"/>
        </w:rPr>
        <w:t xml:space="preserve"> eight years of construction under a midpoint approximation. All three PSH projects maintained zero modelled residual top-up under this stress test, confirming that the finding is robust to construction-period financing risk under the modelled assumptions.</w:t>
      </w:r>
      <w:r>
        <w:rPr>
          <w:rFonts w:ascii="Arial" w:hAnsi="Arial" w:cs="Arial"/>
        </w:rPr>
      </w:r>
      <w:r>
        <w:rPr>
          <w:rFonts w:ascii="Arial" w:hAnsi="Arial" w:cs="Arial"/>
        </w:rPr>
      </w:r>
    </w:p>
    <w:p w14:paraId="582DCFC0">
      <w:pPr>
        <w:pStyle w:val="872"/>
        <w:pBdr/>
        <w:spacing/>
        <w:ind/>
        <w:rPr>
          <w:rFonts w:ascii="Arial" w:hAnsi="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08295CB1">
      <w:pPr>
        <w:pStyle w:val="872"/>
        <w:pBdr/>
        <w:spacing/>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pStyle w:val="872"/>
        <w:pBdr/>
        <w:spacing/>
        <w:ind/>
        <w:rPr>
          <w:rFonts w:ascii="Arial" w:hAnsi="Arial" w:eastAsia="Arial" w:cs="Arial"/>
          <w:highlight w:val="none"/>
        </w:rPr>
      </w:pPr>
      <w:r>
        <w:rPr>
          <w:rFonts w:ascii="Arial" w:hAnsi="Arial" w:eastAsia="Arial" w:cs="Arial"/>
          <w:b/>
          <w:bCs/>
        </w:rPr>
        <w:t xml:space="preserve">External validation:</w:t>
      </w:r>
      <w:r>
        <w:rPr>
          <w:rFonts w:ascii="Arial" w:hAnsi="Arial" w:eastAsia="Arial" w:cs="Arial"/>
        </w:rPr>
        <w:br/>
      </w:r>
      <w:r>
        <w:rPr>
          <w:rFonts w:ascii="Arial" w:hAnsi="Arial" w:eastAsia="Arial" w:cs="Arial"/>
        </w:rPr>
        <w:t xml:space="preserve">Snowy 2.0 provides a useful external benchmark for the order of magnitude of PSH energ</w:t>
      </w:r>
      <w:r>
        <w:rPr>
          <w:rFonts w:ascii="Arial" w:hAnsi="Arial" w:eastAsia="Arial" w:cs="Arial"/>
        </w:rPr>
        <w:t xml:space="preserve">y-capacity cost, though direct comparison is sensitive to FX, scope, financing treatment and project-specific geology. Our £20k/MWh assumption is directionally plausible. The finding is robust across the £15k–£30k/MWh sensitivity range and IDC stress test.</w:t>
      </w:r>
      <w:r>
        <w:rPr>
          <w:rFonts w:ascii="Arial" w:hAnsi="Arial" w:cs="Arial"/>
          <w:highlight w:val="none"/>
        </w:rPr>
      </w:r>
      <w:r>
        <w:rPr>
          <w:rFonts w:ascii="Arial" w:hAnsi="Arial" w:cs="Arial"/>
          <w:highlight w:val="none"/>
        </w:rPr>
      </w:r>
    </w:p>
    <w:p w14:paraId="007E341D">
      <w:pPr>
        <w:pStyle w:val="886"/>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4.4 Cost-Revenue Gap</w:t>
      </w:r>
      <w:r/>
    </w:p>
    <w:p w14:paraId="69527AA2">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t xml:space="preserve">Support requirements reflect the gap between levelised cost of storage (LCOS) and market revenues. PSH’s low LCOS (£30–58/MWh) results in zero modelled support, while Li‑ion’s higher LCOS (£131–180/MWh) creates substantial support requirements (£169k–582k/M</w:t>
      </w:r>
      <w:r>
        <w:rPr>
          <w:rFonts w:ascii="Arial" w:hAnsi="Arial" w:eastAsia="Arial" w:cs="Arial"/>
          <w:color w:val="1d1d1f"/>
          <w:sz w:val="24"/>
          <w:highlight w:val="none"/>
        </w:rPr>
        <w:t xml:space="preserve">W/yr).</w:t>
      </w:r>
      <w:r>
        <w:rPr>
          <w:rFonts w:ascii="Arial" w:hAnsi="Arial" w:eastAsia="Arial" w:cs="Arial"/>
          <w:color w:val="1d1d1f"/>
          <w:sz w:val="24"/>
          <w:highlight w:val="none"/>
        </w:rPr>
      </w:r>
      <w:r>
        <w:rPr>
          <w:rFonts w:ascii="Arial" w:hAnsi="Arial" w:eastAsia="Arial" w:cs="Arial"/>
          <w:color w:val="1d1d1f"/>
          <w:sz w:val="24"/>
          <w:highlight w:val="none"/>
        </w:rPr>
      </w:r>
    </w:p>
    <w:p w14:paraId="3B317CEE">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rFonts w:ascii="Arial" w:hAnsi="Arial" w:eastAsia="Arial" w:cs="Arial"/>
          <w:color w:val="1d1d1f"/>
          <w:sz w:val="24"/>
          <w:szCs w:val="24"/>
          <w:highlight w:val="none"/>
        </w:rPr>
      </w:pPr>
      <w:r>
        <w:rPr>
          <w:rFonts w:ascii="Arial" w:hAnsi="Arial" w:eastAsia="Arial" w:cs="Arial"/>
          <w:b/>
          <w:bCs/>
          <w:color w:val="1d1d1f"/>
          <w:sz w:val="24"/>
        </w:rPr>
        <w:t xml:space="preserve">Figure 4 visualises the relationship between levelised cost of storage (LCOS) and modelled residual support requirement across all 16 projects. </w:t>
      </w:r>
      <w:r>
        <w:rPr>
          <w:rFonts w:ascii="Arial" w:hAnsi="Arial" w:eastAsia="Arial" w:cs="Arial"/>
          <w:color w:val="1d1d1f"/>
          <w:sz w:val="24"/>
        </w:rPr>
        <w:t xml:space="preserve">The chart demonstrates that support requirements are not arbitrary — they are driven by the fundamental economic</w:t>
      </w:r>
      <w:r>
        <w:rPr>
          <w:rFonts w:ascii="Arial" w:hAnsi="Arial" w:eastAsia="Arial" w:cs="Arial"/>
          <w:color w:val="1d1d1f"/>
          <w:sz w:val="24"/>
        </w:rPr>
        <w:t xml:space="preserve"> gap between project costs and market revenues.</w:t>
      </w:r>
      <w:r/>
      <w:r>
        <w:rPr>
          <w:rFonts w:ascii="Arial" w:hAnsi="Arial" w:cs="Arial"/>
          <w:highlight w:val="none"/>
        </w:rPr>
      </w:r>
      <w:r>
        <w:rPr>
          <w:rFonts w:ascii="Arial" w:hAnsi="Arial" w:cs="Arial"/>
          <w:highlight w:val="none"/>
        </w:rPr>
      </w:r>
      <w:r>
        <w:rPr>
          <w:rFonts w:ascii="Arial" w:hAnsi="Arial" w:cs="Arial"/>
          <w:highlight w:val="none"/>
        </w:rPr>
      </w:r>
      <w:r>
        <w:rPr>
          <w:rFonts w:ascii="Arial" w:hAnsi="Arial" w:eastAsia="Arial" w:cs="Arial"/>
          <w:color w:val="1d1d1f"/>
          <w:sz w:val="24"/>
          <w:szCs w:val="24"/>
          <w:highlight w:val="none"/>
        </w:rPr>
      </w:r>
    </w:p>
    <w:p w14:paraId="03108737">
      <w:pPr>
        <w:pStyle w:val="872"/>
        <w:pBdr/>
        <w:spacing/>
        <w:ind/>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5798CE04">
      <w:pPr>
        <w:pStyle w:val="872"/>
        <w:pBdr/>
        <w:spacing/>
        <w:ind/>
        <w:rPr>
          <w:rFonts w:ascii="Arial" w:hAnsi="Arial" w:cs="Arial"/>
          <w:highlight w:val="none"/>
        </w:rPr>
      </w:pPr>
      <w:r>
        <w:rPr>
          <w:rFonts w:ascii="Arial" w:hAnsi="Arial" w:cs="Arial"/>
          <w:highlight w:val="none"/>
        </w:rPr>
      </w:r>
      <w:r>
        <w:rPr>
          <w:rFonts w:ascii="Arial" w:hAnsi="Arial" w:cs="Arial"/>
          <w:highlight w:val="none"/>
        </w:rPr>
        <mc:AlternateContent>
          <mc:Choice Requires="wpg">
            <w:drawing>
              <wp:inline xmlns:wp="http://schemas.openxmlformats.org/drawingml/2006/wordprocessingDrawing" distT="0" distB="0" distL="0" distR="0">
                <wp:extent cx="5940425" cy="384750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084" name=""/>
                        <pic:cNvPicPr>
                          <a:picLocks noChangeAspect="1"/>
                        </pic:cNvPicPr>
                        <pic:nvPr/>
                      </pic:nvPicPr>
                      <pic:blipFill rotWithShape="1">
                        <a:blip r:embed="rId12"/>
                        <a:stretch/>
                      </pic:blipFill>
                      <pic:spPr bwMode="auto">
                        <a:xfrm>
                          <a:off x="0" y="0"/>
                          <a:ext cx="5940424" cy="3847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02.95pt;mso-wrap-distance-left:0.00pt;mso-wrap-distance-top:0.00pt;mso-wrap-distance-right:0.00pt;mso-wrap-distance-bottom:0.00pt;z-index:1;" stroked="false">
                <v:imagedata r:id="rId12" o:title=""/>
                <o:lock v:ext="edit" rotation="t"/>
              </v:shape>
            </w:pict>
          </mc:Fallback>
        </mc:AlternateContent>
      </w:r>
      <w:r>
        <w:rPr>
          <w:rFonts w:ascii="Arial" w:hAnsi="Arial" w:cs="Arial"/>
        </w:rPr>
      </w:r>
      <w:r>
        <w:rPr>
          <w:rFonts w:ascii="Arial" w:hAnsi="Arial" w:cs="Arial"/>
          <w:highlight w:val="none"/>
        </w:rPr>
      </w:r>
    </w:p>
    <w:p w14:paraId="7C91BF5E">
      <w:pPr>
        <w:pStyle w:val="872"/>
        <w:pBdr/>
        <w:spacing/>
        <w:ind/>
        <w:rPr/>
      </w:pPr>
      <w:r>
        <w:rPr>
          <w:rFonts w:ascii="Arial" w:hAnsi="Arial" w:cs="Arial"/>
          <w:b/>
          <w:bCs/>
          <w:highlight w:val="none"/>
        </w:rPr>
        <w:t xml:space="preserve">Figure 4 — Cost-revenue gap drives support requirements</w:t>
      </w:r>
      <w:r>
        <w:rPr>
          <w:rFonts w:ascii="Arial" w:hAnsi="Arial" w:cs="Arial"/>
          <w:highlight w:val="none"/>
          <w:lang w:val="en-GB"/>
        </w:rPr>
        <w:t xml:space="preserve">. </w:t>
      </w:r>
      <w:r>
        <w:rPr>
          <w:rFonts w:ascii="Arial" w:hAnsi="Arial" w:cs="Arial"/>
          <w:highlight w:val="none"/>
        </w:rPr>
        <w:t xml:space="preserve">L</w:t>
      </w:r>
      <w:r>
        <w:rPr>
          <w:rFonts w:ascii="Arial" w:hAnsi="Arial" w:cs="Arial"/>
          <w:highlight w:val="none"/>
        </w:rPr>
        <w:t xml:space="preserve">evelised Cost of Storage (LCOS) vs modelled residual support requirement. Projects with higher LCOS require greater residual support, with distinct clustering by technology. PSH's low cost structure (£30-58/MWh) results in zero modelled residual support, w</w:t>
      </w:r>
      <w:r>
        <w:rPr>
          <w:rFonts w:ascii="Arial" w:hAnsi="Arial" w:cs="Arial"/>
          <w:highlight w:val="none"/>
        </w:rPr>
        <w:t xml:space="preserve">hile Li-ion's higher costs (£131-180/MWh) create substantial support requirements (£169k-582k/MW/yr). The floor mechanism fills the gap between project costs and market revenues.</w:t>
      </w:r>
      <w:r>
        <w:rPr>
          <w:rFonts w:ascii="Arial" w:hAnsi="Arial" w:cs="Arial"/>
          <w:highlight w:val="none"/>
        </w:rPr>
      </w:r>
      <w:r/>
    </w:p>
    <w:p>
      <w:pPr>
        <w:pBdr/>
        <w:spacing/>
        <w:ind/>
        <w:rPr>
          <w:rFonts w:ascii="Arial" w:hAnsi="Arial" w:cs="Arial"/>
        </w:rPr>
      </w:pPr>
      <w:r>
        <w:rPr>
          <w:rFonts w:ascii="Arial" w:hAnsi="Arial" w:eastAsia="Arial" w:cs="Arial"/>
        </w:rPr>
        <w:pict>
          <v:shape id="shape 8" o:spid="_x0000_s8" o:spt="1" type="#_x0000_t1" style="width:0.00pt;height:1.50pt;mso-wrap-distance-left:0.00pt;mso-wrap-distance-top:0.00pt;mso-wrap-distance-right:0.00pt;mso-wrap-distance-bottom:0.00pt;visibility:visible;" fillcolor="#FFFFFF" strokecolor="#000000" o:hr="t" o:hrstd="t" o:hralign="center" o:hrnoshade="f"/>
        </w:pict>
      </w:r>
      <w:bookmarkEnd w:id="32"/>
      <w:r/>
      <w:bookmarkEnd w:id="33"/>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b/>
          <w:bCs/>
        </w:rPr>
      </w:r>
      <w:bookmarkStart w:id="37" w:name="policy-implications"/>
      <w:r>
        <w:rPr>
          <w:rFonts w:ascii="Arial" w:hAnsi="Arial" w:eastAsia="Arial" w:cs="Arial"/>
          <w:b/>
          <w:bCs/>
        </w:rPr>
        <w:t xml:space="preserve">5. Policy Implications</w:t>
      </w:r>
      <w:r>
        <w:rPr>
          <w:rFonts w:ascii="Arial" w:hAnsi="Arial" w:cs="Arial"/>
          <w:b/>
          <w:bCs/>
        </w:rPr>
      </w:r>
      <w:r>
        <w:rPr>
          <w:rFonts w:ascii="Arial" w:hAnsi="Arial" w:cs="Arial"/>
          <w:b/>
          <w:bCs/>
        </w:rPr>
      </w:r>
    </w:p>
    <w:p>
      <w:pPr>
        <w:pStyle w:val="886"/>
        <w:pBdr/>
        <w:spacing/>
        <w:ind/>
        <w:rPr>
          <w:rFonts w:ascii="Arial" w:hAnsi="Arial" w:cs="Arial"/>
          <w:b/>
          <w:bCs/>
        </w:rPr>
      </w:pPr>
      <w:r>
        <w:rPr>
          <w:rFonts w:ascii="Arial" w:hAnsi="Arial" w:eastAsia="Arial" w:cs="Arial"/>
          <w:b/>
          <w:bCs/>
        </w:rPr>
      </w:r>
      <w:bookmarkStart w:id="34" w:name="X34b3d09acad8b7a95af2c42a9bb3d1bc93414e6"/>
      <w:r>
        <w:rPr>
          <w:rFonts w:ascii="Arial" w:hAnsi="Arial" w:eastAsia="Arial" w:cs="Arial"/>
          <w:b/>
          <w:bCs/>
        </w:rPr>
        <w:t xml:space="preserve">5.1 </w:t>
      </w:r>
      <w:r>
        <w:rPr>
          <w:rFonts w:ascii="Arial" w:hAnsi="Arial" w:eastAsia="Arial" w:cs="Arial"/>
          <w:b/>
          <w:bCs/>
          <w:lang w:val="en-GB"/>
        </w:rPr>
        <w:t xml:space="preserve">Limits of Common </w:t>
      </w:r>
      <w:r>
        <w:rPr>
          <w:rFonts w:ascii="Arial" w:hAnsi="Arial" w:eastAsia="Arial" w:cs="Arial"/>
          <w:b/>
          <w:bCs/>
        </w:rPr>
        <w:t xml:space="preserve">Parameters</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rPr>
      </w:r>
      <w:r>
        <w:rPr>
          <w:rFonts w:ascii="Arial" w:hAnsi="Arial" w:eastAsia="Arial" w:cs="Arial"/>
        </w:rPr>
        <w:t xml:space="preserve">A calibration method built on common parameters risks</w:t>
      </w:r>
      <w:r>
        <w:rPr>
          <w:rFonts w:ascii="Arial" w:hAnsi="Arial" w:eastAsia="Arial" w:cs="Arial"/>
        </w:rPr>
        <w:t xml:space="preserve">:</w:t>
      </w:r>
      <w:r>
        <w:rPr>
          <w:rFonts w:ascii="Arial" w:hAnsi="Arial" w:cs="Arial"/>
        </w:rPr>
      </w:r>
      <w:r>
        <w:rPr>
          <w:rFonts w:ascii="Arial" w:hAnsi="Arial" w:cs="Arial"/>
        </w:rPr>
      </w:r>
    </w:p>
    <w:p>
      <w:pPr>
        <w:pStyle w:val="874"/>
        <w:numPr>
          <w:ilvl w:val="0"/>
          <w:numId w:val="5"/>
        </w:numPr>
        <w:pBdr/>
        <w:spacing/>
        <w:ind/>
        <w:rPr>
          <w:rFonts w:ascii="Arial" w:hAnsi="Arial" w:cs="Arial"/>
        </w:rPr>
      </w:pPr>
      <w:r>
        <w:rPr>
          <w:rFonts w:ascii="Arial" w:hAnsi="Arial" w:eastAsia="Arial" w:cs="Arial"/>
        </w:rPr>
        <w:t xml:space="preserve">over-supporting resilient long-duration assets, creating unnecessary consumer cost;</w:t>
      </w:r>
      <w:r>
        <w:rPr>
          <w:rFonts w:ascii="Arial" w:hAnsi="Arial" w:cs="Arial"/>
        </w:rPr>
      </w:r>
      <w:r>
        <w:rPr>
          <w:rFonts w:ascii="Arial" w:hAnsi="Arial" w:cs="Arial"/>
        </w:rPr>
      </w:r>
    </w:p>
    <w:p>
      <w:pPr>
        <w:pStyle w:val="874"/>
        <w:numPr>
          <w:ilvl w:val="0"/>
          <w:numId w:val="5"/>
        </w:numPr>
        <w:pBdr/>
        <w:spacing/>
        <w:ind/>
        <w:rPr>
          <w:rFonts w:ascii="Arial" w:hAnsi="Arial" w:cs="Arial"/>
        </w:rPr>
      </w:pPr>
      <w:r>
        <w:rPr>
          <w:rFonts w:ascii="Arial" w:hAnsi="Arial" w:eastAsia="Arial" w:cs="Arial"/>
        </w:rPr>
        <w:t xml:space="preserve">under-supporting constrained shorter-duration assets, particularly Li-ion projects behind SSEN-S; and</w:t>
      </w:r>
      <w:r>
        <w:rPr>
          <w:rFonts w:ascii="Arial" w:hAnsi="Arial" w:cs="Arial"/>
        </w:rPr>
      </w:r>
      <w:r>
        <w:rPr>
          <w:rFonts w:ascii="Arial" w:hAnsi="Arial" w:cs="Arial"/>
        </w:rPr>
      </w:r>
    </w:p>
    <w:p>
      <w:pPr>
        <w:pStyle w:val="874"/>
        <w:numPr>
          <w:ilvl w:val="0"/>
          <w:numId w:val="5"/>
        </w:numPr>
        <w:pBdr/>
        <w:spacing/>
        <w:ind/>
        <w:rPr>
          <w:rFonts w:ascii="Arial" w:hAnsi="Arial" w:cs="Arial"/>
        </w:rPr>
      </w:pPr>
      <w:r>
        <w:rPr>
          <w:rFonts w:ascii="Arial" w:hAnsi="Arial" w:eastAsia="Arial" w:cs="Arial"/>
        </w:rPr>
        <w:t xml:space="preserve">distorting the optimal technology mix by failing to account for duration and location.</w:t>
      </w:r>
      <w:bookmarkEnd w:id="34"/>
      <w:r>
        <w:rPr>
          <w:rFonts w:ascii="Arial" w:hAnsi="Arial" w:cs="Arial"/>
        </w:rPr>
      </w:r>
      <w:r>
        <w:rPr>
          <w:rFonts w:ascii="Arial" w:hAnsi="Arial" w:cs="Arial"/>
        </w:rPr>
      </w:r>
    </w:p>
    <w:p>
      <w:pPr>
        <w:pStyle w:val="886"/>
        <w:pBdr/>
        <w:spacing/>
        <w:ind/>
        <w:rPr>
          <w:rFonts w:ascii="Arial" w:hAnsi="Arial" w:cs="Arial"/>
          <w:b/>
          <w:bCs/>
        </w:rPr>
      </w:pPr>
      <w:r>
        <w:rPr>
          <w:rFonts w:ascii="Arial" w:hAnsi="Arial" w:eastAsia="Arial" w:cs="Arial"/>
        </w:rPr>
      </w:r>
      <w:bookmarkStart w:id="35" w:name="recommended-calibration-framework"/>
      <w:r>
        <w:rPr>
          <w:rFonts w:ascii="Arial" w:hAnsi="Arial" w:eastAsia="Arial" w:cs="Arial"/>
          <w:b/>
          <w:bCs/>
        </w:rPr>
        <w:t xml:space="preserve">5.2 Recommended Calibration Framework</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rPr>
        <w:t xml:space="preserve">Calibration should </w:t>
      </w:r>
      <w:r>
        <w:rPr>
          <w:rFonts w:ascii="Arial" w:hAnsi="Arial" w:eastAsia="Arial" w:cs="Arial"/>
          <w:lang w:val="en-GB"/>
        </w:rPr>
        <w:t xml:space="preserve">follow three dimensions</w:t>
      </w:r>
      <w:r>
        <w:rPr>
          <w:rFonts w:ascii="Arial" w:hAnsi="Arial" w:eastAsia="Arial" w:cs="Arial"/>
        </w:rPr>
        <w:t xml:space="preserve">:</w:t>
      </w:r>
      <w:r>
        <w:rPr>
          <w:rFonts w:ascii="Arial" w:hAnsi="Arial" w:cs="Arial"/>
        </w:rPr>
      </w:r>
      <w:r>
        <w:rPr>
          <w:rFonts w:ascii="Arial" w:hAnsi="Arial" w:cs="Arial"/>
        </w:rPr>
      </w:r>
    </w:p>
    <w:p>
      <w:pPr>
        <w:numPr>
          <w:ilvl w:val="0"/>
          <w:numId w:val="6"/>
        </w:numPr>
        <w:pBdr/>
        <w:spacing/>
        <w:ind/>
        <w:rPr>
          <w:rFonts w:ascii="Arial" w:hAnsi="Arial" w:cs="Arial"/>
        </w:rPr>
      </w:pPr>
      <w:r>
        <w:rPr>
          <w:rFonts w:ascii="Arial" w:hAnsi="Arial" w:eastAsia="Arial" w:cs="Arial"/>
          <w:b/>
          <w:bCs/>
        </w:rPr>
        <w:t xml:space="preserve">Duration</w:t>
      </w:r>
      <w:r>
        <w:rPr>
          <w:rFonts w:ascii="Arial" w:hAnsi="Arial" w:eastAsia="Arial" w:cs="Arial"/>
        </w:rPr>
        <w:br/>
      </w:r>
      <w:r>
        <w:rPr>
          <w:rFonts w:ascii="Arial" w:hAnsi="Arial" w:eastAsia="Arial" w:cs="Arial"/>
        </w:rPr>
      </w:r>
      <w:r>
        <w:rPr>
          <w:rFonts w:ascii="Arial" w:hAnsi="Arial" w:eastAsia="Arial" w:cs="Arial"/>
        </w:rPr>
        <w:t xml:space="preserve">coefficients should come from project submissions.</w:t>
      </w:r>
      <w:r>
        <w:rPr>
          <w:rFonts w:ascii="Arial" w:hAnsi="Arial" w:eastAsia="Arial" w:cs="Arial"/>
        </w:rPr>
      </w:r>
      <w:r>
        <w:rPr>
          <w:rFonts w:ascii="Arial" w:hAnsi="Arial" w:cs="Arial"/>
        </w:rPr>
      </w:r>
    </w:p>
    <w:p>
      <w:pPr>
        <w:numPr>
          <w:ilvl w:val="0"/>
          <w:numId w:val="6"/>
        </w:numPr>
        <w:pBdr/>
        <w:spacing/>
        <w:ind/>
        <w:rPr>
          <w:rFonts w:ascii="Arial" w:hAnsi="Arial" w:cs="Arial"/>
        </w:rPr>
      </w:pPr>
      <w:r>
        <w:rPr>
          <w:rFonts w:ascii="Arial" w:hAnsi="Arial" w:eastAsia="Arial" w:cs="Arial"/>
          <w:b/>
          <w:bCs/>
        </w:rPr>
        <w:t xml:space="preserve">Geographic constraint exposure</w:t>
      </w:r>
      <w:r>
        <w:rPr>
          <w:rFonts w:ascii="Arial" w:hAnsi="Arial" w:eastAsia="Arial" w:cs="Arial"/>
        </w:rPr>
        <w:br/>
      </w:r>
      <w:r>
        <w:rPr>
          <w:rFonts w:ascii="Arial" w:hAnsi="Arial" w:eastAsia="Arial" w:cs="Arial"/>
        </w:rPr>
      </w:r>
      <w:r>
        <w:rPr>
          <w:rFonts w:ascii="Arial" w:hAnsi="Arial" w:eastAsia="Arial" w:cs="Arial"/>
        </w:rPr>
        <w:t xml:space="preserve">the ~30% premium is an upper‑bound estimate.</w:t>
      </w:r>
      <w:r>
        <w:rPr>
          <w:rFonts w:ascii="Arial" w:hAnsi="Arial" w:eastAsia="Arial" w:cs="Arial"/>
        </w:rPr>
      </w:r>
      <w:r>
        <w:rPr>
          <w:rFonts w:ascii="Arial" w:hAnsi="Arial" w:cs="Arial"/>
        </w:rPr>
      </w:r>
    </w:p>
    <w:p>
      <w:pPr>
        <w:numPr>
          <w:ilvl w:val="0"/>
          <w:numId w:val="6"/>
        </w:numPr>
        <w:pBdr/>
        <w:spacing/>
        <w:ind/>
        <w:rPr>
          <w:rFonts w:ascii="Arial" w:hAnsi="Arial" w:cs="Arial"/>
        </w:rPr>
      </w:pPr>
      <w:r>
        <w:rPr>
          <w:rFonts w:ascii="Arial" w:hAnsi="Arial" w:eastAsia="Arial" w:cs="Arial"/>
          <w:b/>
          <w:bCs/>
        </w:rPr>
        <w:t xml:space="preserve">Technology-specific lifecycle costs</w:t>
      </w:r>
      <w:r>
        <w:rPr>
          <w:rFonts w:ascii="Arial" w:hAnsi="Arial" w:eastAsia="Arial" w:cs="Arial"/>
        </w:rPr>
        <w:br/>
      </w:r>
      <w:r>
        <w:rPr>
          <w:rFonts w:ascii="Arial" w:hAnsi="Arial" w:eastAsia="Arial" w:cs="Arial"/>
        </w:rPr>
        <w:t xml:space="preserve">augmentation/refurbishment profiles differ materially.</w:t>
      </w:r>
      <w:r>
        <w:rPr>
          <w:rFonts w:ascii="Arial" w:hAnsi="Arial" w:eastAsia="Arial" w:cs="Arial"/>
        </w:rPr>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rPr>
        <w:t xml:space="preserve">This approach would support technology lifecycle costs, physical duration and geographic constraint exposure, reduc</w:t>
      </w:r>
      <w:r>
        <w:rPr>
          <w:rFonts w:ascii="Arial" w:hAnsi="Arial" w:eastAsia="Arial" w:cs="Arial"/>
          <w:lang w:val="en-GB"/>
        </w:rPr>
        <w:t xml:space="preserve">e</w:t>
      </w:r>
      <w:r>
        <w:rPr>
          <w:rFonts w:ascii="Arial" w:hAnsi="Arial" w:eastAsia="Arial" w:cs="Arial"/>
        </w:rPr>
        <w:t xml:space="preserve"> the risk of unintended capital misallocation </w:t>
      </w:r>
      <w:r>
        <w:rPr>
          <w:rFonts w:ascii="Arial" w:hAnsi="Arial" w:eastAsia="Arial" w:cs="Arial"/>
          <w:lang w:val="en-GB"/>
        </w:rPr>
        <w:t xml:space="preserve">and</w:t>
      </w:r>
      <w:r>
        <w:rPr>
          <w:rFonts w:ascii="Arial" w:hAnsi="Arial" w:eastAsia="Arial" w:cs="Arial"/>
        </w:rPr>
        <w:t xml:space="preserve"> enabl</w:t>
      </w:r>
      <w:r>
        <w:rPr>
          <w:rFonts w:ascii="Arial" w:hAnsi="Arial" w:eastAsia="Arial" w:cs="Arial"/>
          <w:lang w:val="en-GB"/>
        </w:rPr>
        <w:t xml:space="preserve">e</w:t>
      </w:r>
      <w:r>
        <w:rPr>
          <w:rFonts w:ascii="Arial" w:hAnsi="Arial" w:eastAsia="Arial" w:cs="Arial"/>
        </w:rPr>
        <w:t xml:space="preserve"> project delivery.</w:t>
      </w:r>
      <w:bookmarkEnd w:id="35"/>
      <w:r>
        <w:rPr>
          <w:rFonts w:ascii="Arial" w:hAnsi="Arial" w:cs="Arial"/>
        </w:rPr>
      </w:r>
      <w:r>
        <w:rPr>
          <w:rFonts w:ascii="Arial" w:hAnsi="Arial" w:cs="Arial"/>
        </w:rPr>
      </w:r>
    </w:p>
    <w:p w14:paraId="57F5F8B7">
      <w:pPr>
        <w:pStyle w:val="872"/>
        <w:pBdr/>
        <w:spacing/>
        <w:ind/>
        <w:rPr/>
      </w:pPr>
      <w:r>
        <w:rPr>
          <w:rFonts w:ascii="Arial" w:hAnsi="Arial" w:cs="Arial"/>
        </w:rPr>
      </w:r>
      <w:r>
        <w:rPr>
          <w:rFonts w:ascii="Arial" w:hAnsi="Arial" w:cs="Arial"/>
        </w:rPr>
      </w:r>
      <w:r/>
    </w:p>
    <w:p>
      <w:pPr>
        <w:pStyle w:val="886"/>
        <w:pBdr/>
        <w:spacing/>
        <w:ind/>
        <w:rPr>
          <w:rFonts w:ascii="Arial" w:hAnsi="Arial" w:cs="Arial"/>
          <w:b/>
          <w:bCs/>
        </w:rPr>
      </w:pPr>
      <w:r>
        <w:rPr>
          <w:rFonts w:ascii="Arial" w:hAnsi="Arial" w:eastAsia="Arial" w:cs="Arial"/>
        </w:rPr>
      </w:r>
      <w:bookmarkStart w:id="36" w:name="implementation-considerations"/>
      <w:r>
        <w:rPr>
          <w:rFonts w:ascii="Arial" w:hAnsi="Arial" w:eastAsia="Arial" w:cs="Arial"/>
          <w:b/>
          <w:bCs/>
        </w:rPr>
        <w:t xml:space="preserve">5.3 Implementation Considerations</w:t>
      </w:r>
      <w:r>
        <w:rPr>
          <w:rFonts w:ascii="Arial" w:hAnsi="Arial" w:cs="Arial"/>
          <w:b/>
          <w:bCs/>
        </w:rPr>
      </w:r>
      <w:r>
        <w:rPr>
          <w:rFonts w:ascii="Arial" w:hAnsi="Arial" w:cs="Arial"/>
          <w:b/>
          <w:bCs/>
        </w:rPr>
      </w:r>
    </w:p>
    <w:p w14:paraId="3DBB02D2">
      <w:pPr>
        <w:pBdr/>
        <w:spacing/>
        <w:ind/>
        <w:rPr>
          <w:rFonts w:ascii="Arial" w:hAnsi="Arial" w:cs="Arial"/>
        </w:rPr>
      </w:pPr>
      <w:r>
        <w:rPr>
          <w:rFonts w:ascii="Arial" w:hAnsi="Arial" w:cs="Arial"/>
          <w:highlight w:val="none"/>
        </w:rPr>
      </w:r>
      <w:r>
        <w:rPr>
          <w:rFonts w:ascii="Arial" w:hAnsi="Arial" w:cs="Arial"/>
          <w:highlight w:val="none"/>
        </w:rPr>
        <w:t xml:space="preserve">PSH’s zero‑floor result is robust under modelled assumptions but does not guarantee investment viability. Duration coefficients should be empirically validated, and geographic premiums refined using BM redispatch data.</w:t>
      </w:r>
      <w:r>
        <w:rPr>
          <w:rFonts w:ascii="Arial" w:hAnsi="Arial" w:cs="Arial"/>
          <w:highlight w:val="none"/>
        </w:rPr>
      </w:r>
      <w:r>
        <w:rPr>
          <w:rFonts w:ascii="Arial" w:hAnsi="Arial" w:cs="Arial"/>
          <w:highlight w:val="none"/>
        </w:rPr>
      </w:r>
      <w:r>
        <w:rPr>
          <w:rFonts w:ascii="Arial" w:hAnsi="Arial" w:cs="Arial"/>
          <w:highlight w:val="none"/>
        </w:rPr>
      </w:r>
    </w:p>
    <w:p>
      <w:pPr>
        <w:pBdr/>
        <w:spacing/>
        <w:ind/>
        <w:rPr>
          <w:rFonts w:ascii="Arial" w:hAnsi="Arial" w:cs="Arial"/>
          <w:highlight w:val="none"/>
        </w:rPr>
      </w:pPr>
      <w:r>
        <w:rPr>
          <w:rFonts w:ascii="Arial" w:hAnsi="Arial" w:eastAsia="Arial" w:cs="Arial"/>
        </w:rPr>
        <w:pict>
          <v:shape id="shape 9" o:spid="_x0000_s9" o:spt="1" type="#_x0000_t1" style="width:0.00pt;height:1.50pt;mso-wrap-distance-left:0.00pt;mso-wrap-distance-top:0.00pt;mso-wrap-distance-right:0.00pt;mso-wrap-distance-bottom:0.00pt;visibility:visible;" fillcolor="#FFFFFF" strokecolor="#000000" o:hr="t" o:hrstd="t" o:hralign="center" o:hrnoshade="f"/>
        </w:pict>
      </w:r>
      <w:bookmarkEnd w:id="36"/>
      <w:r/>
      <w:bookmarkEnd w:id="37"/>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rPr>
      </w:r>
      <w:bookmarkStart w:id="38" w:name="conclusion"/>
      <w:r>
        <w:rPr>
          <w:rFonts w:ascii="Arial" w:hAnsi="Arial" w:eastAsia="Arial" w:cs="Arial"/>
          <w:b/>
          <w:bCs/>
        </w:rPr>
        <w:t xml:space="preserve">6. Conclusion</w:t>
      </w:r>
      <w:r>
        <w:rPr>
          <w:rFonts w:ascii="Arial" w:hAnsi="Arial" w:cs="Arial"/>
          <w:b/>
          <w:bCs/>
        </w:rPr>
      </w:r>
      <w:r>
        <w:rPr>
          <w:rFonts w:ascii="Arial" w:hAnsi="Arial" w:cs="Arial"/>
          <w:b/>
          <w:bCs/>
        </w:rPr>
      </w:r>
    </w:p>
    <w:p w14:paraId="6F104135">
      <w:pPr>
        <w:pBdr/>
        <w:spacing/>
        <w:ind/>
        <w:rPr/>
      </w:pPr>
      <w:r>
        <w:rPr>
          <w:rFonts w:ascii="Arial" w:hAnsi="Arial" w:cs="Arial"/>
          <w:highlight w:val="none"/>
        </w:rPr>
        <w:t xml:space="preserve">Cap and floor calibration cannot rely solely on common parameters. Duration, constraint exposure and lifecycle cost drive substantial differences in modelled support requirements—even within the same technology class. A calibration framework that recognises</w:t>
      </w:r>
      <w:r>
        <w:rPr>
          <w:rFonts w:ascii="Arial" w:hAnsi="Arial" w:cs="Arial"/>
          <w:highlight w:val="none"/>
        </w:rPr>
        <w:t xml:space="preserve"> these variables will reduce misallocation risk and support effective delivery across the Window 1 portfolio.</w:t>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p>
    <w:p w14:paraId="350A8BE5">
      <w:pPr>
        <w:pBdr/>
        <w:spacing/>
        <w:ind/>
        <w:rPr>
          <w:rFonts w:ascii="Arial" w:hAnsi="Arial" w:cs="Arial"/>
          <w:highlight w:val="none"/>
        </w:rPr>
      </w:pPr>
      <w:r>
        <w:rPr>
          <w:rFonts w:ascii="Arial" w:hAnsi="Arial" w:cs="Arial"/>
          <w:highlight w:val="none"/>
        </w:rPr>
        <w:t xml:space="preserve">We welcome further discussion and can provide additional analysis as required.</w:t>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r>
        <w:rPr>
          <w:rFonts w:ascii="Arial" w:hAnsi="Arial" w:cs="Arial"/>
          <w:highlight w:val="none"/>
        </w:rPr>
      </w:r>
    </w:p>
    <w:p>
      <w:pPr>
        <w:pBdr/>
        <w:spacing/>
        <w:ind/>
        <w:rPr>
          <w:rFonts w:ascii="Arial" w:hAnsi="Arial" w:cs="Arial"/>
          <w:highlight w:val="none"/>
        </w:rPr>
      </w:pPr>
      <w:r>
        <w:rPr>
          <w:rFonts w:ascii="Arial" w:hAnsi="Arial" w:eastAsia="Arial" w:cs="Arial"/>
        </w:rPr>
        <w:pict>
          <v:shape id="shape 10" o:spid="_x0000_s10" o:spt="1" type="#_x0000_t1" style="width:0.00pt;height:1.50pt;mso-wrap-distance-left:0.00pt;mso-wrap-distance-top:0.00pt;mso-wrap-distance-right:0.00pt;mso-wrap-distance-bottom:0.00pt;visibility:visible;" fillcolor="#FFFFFF" strokecolor="#000000" o:hr="t" o:hrstd="t" o:hralign="center" o:hrnoshade="f"/>
        </w:pict>
      </w:r>
      <w:bookmarkEnd w:id="38"/>
      <w:r>
        <w:rPr>
          <w:rFonts w:ascii="Arial" w:hAnsi="Arial" w:cs="Arial"/>
        </w:rPr>
      </w:r>
      <w:r>
        <w:rPr>
          <w:rFonts w:ascii="Arial" w:hAnsi="Arial" w:cs="Arial"/>
        </w:rPr>
      </w:r>
    </w:p>
    <w:p>
      <w:pPr>
        <w:pStyle w:val="885"/>
        <w:pBdr/>
        <w:spacing/>
        <w:ind/>
        <w:rPr>
          <w:rFonts w:ascii="Arial" w:hAnsi="Arial" w:cs="Arial"/>
          <w:b/>
          <w:bCs/>
        </w:rPr>
      </w:pPr>
      <w:r>
        <w:rPr>
          <w:rFonts w:ascii="Arial" w:hAnsi="Arial" w:eastAsia="Arial" w:cs="Arial"/>
        </w:rPr>
      </w:r>
      <w:bookmarkStart w:id="39" w:name="footnotes"/>
      <w:r>
        <w:rPr>
          <w:rFonts w:ascii="Arial" w:hAnsi="Arial" w:eastAsia="Arial" w:cs="Arial"/>
          <w:b/>
          <w:bCs/>
        </w:rPr>
        <w:t xml:space="preserve">Footnotes</w:t>
      </w:r>
      <w:r>
        <w:rPr>
          <w:rFonts w:ascii="Arial" w:hAnsi="Arial" w:cs="Arial"/>
          <w:b/>
          <w:bCs/>
        </w:rPr>
      </w:r>
      <w:r>
        <w:rPr>
          <w:rFonts w:ascii="Arial" w:hAnsi="Arial" w:cs="Arial"/>
          <w:b/>
          <w:bCs/>
        </w:rPr>
      </w:r>
    </w:p>
    <w:p>
      <w:pPr>
        <w:pStyle w:val="873"/>
        <w:pBdr/>
        <w:spacing/>
        <w:ind/>
        <w:rPr>
          <w:rFonts w:ascii="Arial" w:hAnsi="Arial" w:cs="Arial"/>
        </w:rPr>
      </w:pPr>
      <w:r>
        <w:rPr>
          <w:rFonts w:ascii="Arial" w:hAnsi="Arial" w:eastAsia="Arial" w:cs="Arial"/>
        </w:rPr>
        <w:t xml:space="preserve">¹ IDC factor computed using midpoint approximation: (1.08)⁴ = 1.36x. The exact IDC factor varies by drawdown convention; 1.36x is used here as a transparent midpoint approximation.</w:t>
      </w:r>
      <w:r>
        <w:rPr>
          <w:rFonts w:ascii="Arial" w:hAnsi="Arial" w:cs="Arial"/>
        </w:rPr>
      </w:r>
      <w:r>
        <w:rPr>
          <w:rFonts w:ascii="Arial" w:hAnsi="Arial" w:cs="Arial"/>
        </w:rPr>
      </w:r>
    </w:p>
    <w:p>
      <w:pPr>
        <w:pBdr/>
        <w:spacing/>
        <w:ind/>
        <w:rPr>
          <w:rFonts w:ascii="Arial" w:hAnsi="Arial" w:cs="Arial"/>
        </w:rPr>
      </w:pPr>
      <w:r>
        <w:rPr>
          <w:rFonts w:ascii="Arial" w:hAnsi="Arial" w:eastAsia="Arial" w:cs="Arial"/>
        </w:rPr>
        <w:pict>
          <v:shape id="shape 11" o:spid="_x0000_s11" o:spt="1" type="#_x0000_t1" style="width:0.00pt;height:1.50pt;mso-wrap-distance-left:0.00pt;mso-wrap-distance-top:0.00pt;mso-wrap-distance-right:0.00pt;mso-wrap-distance-bottom:0.00pt;visibility:visible;" fillcolor="#FFFFFF" strokecolor="#000000" o:hr="t" o:hrstd="t" o:hralign="center" o:hrnoshade="f"/>
        </w:pict>
      </w:r>
      <w:bookmarkEnd w:id="39"/>
      <w:r/>
      <w:bookmarkEnd w:id="40"/>
      <w:r>
        <w:rPr>
          <w:rFonts w:ascii="Arial" w:hAnsi="Arial" w:cs="Arial"/>
        </w:rPr>
      </w:r>
      <w:r>
        <w:rPr>
          <w:rFonts w:ascii="Arial" w:hAnsi="Arial" w:cs="Arial"/>
        </w:rPr>
      </w:r>
    </w:p>
    <w:p>
      <w:pPr>
        <w:pStyle w:val="884"/>
        <w:pBdr/>
        <w:spacing/>
        <w:ind/>
        <w:rPr>
          <w:rFonts w:ascii="Arial" w:hAnsi="Arial" w:cs="Arial"/>
        </w:rPr>
      </w:pPr>
      <w:r>
        <w:rPr>
          <w:rFonts w:ascii="Arial" w:hAnsi="Arial" w:eastAsia="Arial" w:cs="Arial"/>
        </w:rPr>
      </w:r>
      <w:bookmarkStart w:id="52" w:name="annexes"/>
      <w:r>
        <w:rPr>
          <w:rFonts w:ascii="Arial" w:hAnsi="Arial" w:eastAsia="Arial" w:cs="Arial"/>
        </w:rPr>
        <w:t xml:space="preserve">Annexes</w:t>
      </w:r>
      <w:r>
        <w:rPr>
          <w:rFonts w:ascii="Arial" w:hAnsi="Arial" w:cs="Arial"/>
        </w:rPr>
      </w:r>
      <w:r>
        <w:rPr>
          <w:rFonts w:ascii="Arial" w:hAnsi="Arial" w:cs="Arial"/>
        </w:rPr>
      </w:r>
    </w:p>
    <w:p>
      <w:pPr>
        <w:pStyle w:val="885"/>
        <w:pBdr/>
        <w:spacing/>
        <w:ind/>
        <w:rPr>
          <w:rFonts w:ascii="Arial" w:hAnsi="Arial" w:cs="Arial"/>
        </w:rPr>
      </w:pPr>
      <w:r>
        <w:rPr>
          <w:rFonts w:ascii="Arial" w:hAnsi="Arial" w:eastAsia="Arial" w:cs="Arial"/>
        </w:rPr>
      </w:r>
      <w:bookmarkStart w:id="46" w:name="Xa5482877783d64848dc155d579415d9ea54cfa1"/>
      <w:r>
        <w:rPr>
          <w:rFonts w:ascii="Arial" w:hAnsi="Arial" w:eastAsia="Arial" w:cs="Arial"/>
        </w:rPr>
        <w:t xml:space="preserve">Annex A: Data Traceability and Methodology</w:t>
      </w:r>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41" w:name="a.1-source-data"/>
      <w:r>
        <w:rPr>
          <w:rFonts w:ascii="Arial" w:hAnsi="Arial" w:eastAsia="Arial" w:cs="Arial"/>
        </w:rPr>
        <w:t xml:space="preserve">A.1 Source Data</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rPr>
        <w:t xml:space="preserve">Project technical inputs are derived from the published Window 1 minded-to portfolio. Cost curves, lifecycle multipliers, curtailment </w:t>
      </w:r>
      <w:r>
        <w:rPr>
          <w:rFonts w:ascii="Arial" w:hAnsi="Arial" w:eastAsia="Arial" w:cs="Arial"/>
        </w:rPr>
        <w:t xml:space="preserve">assumptions, WACC and revenue-stack assumptions are independent modelling assumptions applied transparently for sensitivity analysis. Open-source price data is sourced from Elexon BMRS for 2021–2024. The complete analytical pipeline is available for audit.</w:t>
      </w:r>
      <w:bookmarkEnd w:id="41"/>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42" w:name="X5c3bfad53b08834d3531ec548826229febeaeff"/>
      <w:r>
        <w:rPr>
          <w:rFonts w:ascii="Arial" w:hAnsi="Arial" w:eastAsia="Arial" w:cs="Arial"/>
        </w:rPr>
        <w:t xml:space="preserve">A.2 Headline Figure 1: Duration Coefficient (£27.8k/MW/yr per hour)</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b/>
          <w:bCs/>
        </w:rPr>
        <w:t xml:space="preserve">Source file:</w:t>
      </w:r>
      <w:r>
        <w:rPr>
          <w:rFonts w:ascii="Arial" w:hAnsi="Arial" w:eastAsia="Arial" w:cs="Arial"/>
        </w:rPr>
        <w:t xml:space="preserve"> </w:t>
      </w:r>
      <w:r>
        <w:rPr>
          <w:rStyle w:val="915"/>
          <w:rFonts w:ascii="Arial" w:hAnsi="Arial" w:eastAsia="Arial" w:cs="Arial"/>
        </w:rPr>
        <w:t xml:space="preserve">ldes_portfolio_risk_adjusted.parquet</w:t>
      </w:r>
      <w:r>
        <w:rPr>
          <w:rFonts w:ascii="Arial" w:hAnsi="Arial" w:eastAsia="Arial" w:cs="Arial"/>
        </w:rPr>
        <w:br/>
      </w:r>
      <w:r>
        <w:rPr>
          <w:rFonts w:ascii="Arial" w:hAnsi="Arial" w:eastAsia="Arial" w:cs="Arial"/>
          <w:b/>
          <w:bCs/>
        </w:rPr>
        <w:t xml:space="preserve">Relevant columns:</w:t>
      </w:r>
      <w:r>
        <w:rPr>
          <w:rFonts w:ascii="Arial" w:hAnsi="Arial" w:eastAsia="Arial" w:cs="Arial"/>
        </w:rPr>
        <w:t xml:space="preserve"> </w:t>
      </w:r>
      <w:r>
        <w:rPr>
          <w:rStyle w:val="915"/>
          <w:rFonts w:ascii="Arial" w:hAnsi="Arial" w:eastAsia="Arial" w:cs="Arial"/>
        </w:rPr>
        <w:t xml:space="preserve">residual_floor_adjusted</w:t>
      </w:r>
      <w:r>
        <w:rPr>
          <w:rFonts w:ascii="Arial" w:hAnsi="Arial" w:eastAsia="Arial" w:cs="Arial"/>
        </w:rPr>
        <w:t xml:space="preserve">,</w:t>
      </w:r>
      <w:r>
        <w:rPr>
          <w:rFonts w:ascii="Arial" w:hAnsi="Arial" w:eastAsia="Arial" w:cs="Arial"/>
        </w:rPr>
        <w:t xml:space="preserve"> </w:t>
      </w:r>
      <w:r>
        <w:rPr>
          <w:rStyle w:val="915"/>
          <w:rFonts w:ascii="Arial" w:hAnsi="Arial" w:eastAsia="Arial" w:cs="Arial"/>
        </w:rPr>
        <w:t xml:space="preserve">duration_hours</w:t>
      </w:r>
      <w:r>
        <w:rPr>
          <w:rFonts w:ascii="Arial" w:hAnsi="Arial" w:eastAsia="Arial" w:cs="Arial"/>
        </w:rPr>
        <w:t xml:space="preserve">,</w:t>
      </w:r>
      <w:r>
        <w:rPr>
          <w:rFonts w:ascii="Arial" w:hAnsi="Arial" w:eastAsia="Arial" w:cs="Arial"/>
        </w:rPr>
        <w:t xml:space="preserve"> </w:t>
      </w:r>
      <w:r>
        <w:rPr>
          <w:rStyle w:val="915"/>
          <w:rFonts w:ascii="Arial" w:hAnsi="Arial" w:eastAsia="Arial" w:cs="Arial"/>
        </w:rPr>
        <w:t xml:space="preserve">rrt_applicable</w:t>
      </w:r>
      <w:r>
        <w:rPr>
          <w:rFonts w:ascii="Arial" w:hAnsi="Arial" w:eastAsia="Arial" w:cs="Arial"/>
        </w:rPr>
        <w:t xml:space="preserve">,</w:t>
      </w:r>
      <w:r>
        <w:rPr>
          <w:rFonts w:ascii="Arial" w:hAnsi="Arial" w:eastAsia="Arial" w:cs="Arial"/>
        </w:rPr>
        <w:t xml:space="preserve"> </w:t>
      </w:r>
      <w:r>
        <w:rPr>
          <w:rStyle w:val="915"/>
          <w:rFonts w:ascii="Arial" w:hAnsi="Arial" w:eastAsia="Arial" w:cs="Arial"/>
        </w:rPr>
        <w:t xml:space="preserve">economic_archetype</w:t>
      </w:r>
      <w:r>
        <w:rPr>
          <w:rFonts w:ascii="Arial" w:hAnsi="Arial" w:eastAsia="Arial" w:cs="Arial"/>
        </w:rPr>
        <w:br/>
      </w:r>
      <w:r>
        <w:rPr>
          <w:rFonts w:ascii="Arial" w:hAnsi="Arial" w:eastAsia="Arial" w:cs="Arial"/>
          <w:b/>
          <w:bCs/>
        </w:rPr>
        <w:t xml:space="preserve">Scenario:</w:t>
      </w:r>
      <w:r>
        <w:rPr>
          <w:rFonts w:ascii="Arial" w:hAnsi="Arial" w:eastAsia="Arial" w:cs="Arial"/>
        </w:rPr>
        <w:t xml:space="preserve"> </w:t>
      </w:r>
      <w:r>
        <w:rPr>
          <w:rFonts w:ascii="Arial" w:hAnsi="Arial" w:eastAsia="Arial" w:cs="Arial"/>
        </w:rPr>
        <w:t xml:space="preserve">Risk-adjusted</w:t>
      </w:r>
      <w:r>
        <w:rPr>
          <w:rFonts w:ascii="Arial" w:hAnsi="Arial" w:eastAsia="Arial" w:cs="Arial"/>
        </w:rPr>
        <w:br/>
      </w:r>
      <w:r>
        <w:rPr>
          <w:rFonts w:ascii="Arial" w:hAnsi="Arial" w:eastAsia="Arial" w:cs="Arial"/>
          <w:b/>
          <w:bCs/>
        </w:rPr>
        <w:t xml:space="preserve">Calculation:</w:t>
      </w:r>
      <w:r>
        <w:rPr>
          <w:rFonts w:ascii="Arial" w:hAnsi="Arial" w:eastAsia="Arial" w:cs="Arial"/>
        </w:rPr>
        <w:t xml:space="preserve"> </w:t>
      </w:r>
      <w:r>
        <w:rPr>
          <w:rFonts w:ascii="Arial" w:hAnsi="Arial" w:eastAsia="Arial" w:cs="Arial"/>
        </w:rPr>
        <w:t xml:space="preserve">Multiple regression of modelled equivalent annual residual support on duration and RRT exposure for all 11 Li-ion projects.</w:t>
      </w:r>
      <w:r>
        <w:rPr>
          <w:rFonts w:ascii="Arial" w:hAnsi="Arial" w:cs="Arial"/>
        </w:rPr>
      </w:r>
      <w:r>
        <w:rPr>
          <w:rFonts w:ascii="Arial" w:hAnsi="Arial" w:cs="Arial"/>
        </w:rPr>
      </w:r>
    </w:p>
    <w:tbl>
      <w:tblPr>
        <w:tblStyle w:val="906"/>
        <w:tblW w:w="0" w:type="auto"/>
        <w:tblBorders/>
        <w:tblLook w:val="0020" w:firstRow="1" w:lastRow="0" w:firstColumn="0" w:lastColumn="0" w:noHBand="0" w:noVBand="0"/>
      </w:tblPr>
      <w:tblGrid>
        <w:gridCol w:w="3960"/>
        <w:gridCol w:w="3960"/>
      </w:tblGrid>
      <w:tr>
        <w:trPr>
          <w:tblHeader/>
        </w:trPr>
        <w:tc>
          <w:tcPr>
            <w:tcBorders/>
          </w:tcPr>
          <w:p>
            <w:pPr>
              <w:pStyle w:val="874"/>
              <w:pBdr/>
              <w:spacing/>
              <w:ind/>
              <w:rPr>
                <w:rFonts w:ascii="Arial" w:hAnsi="Arial" w:cs="Arial"/>
              </w:rPr>
            </w:pPr>
            <w:r>
              <w:rPr>
                <w:rFonts w:ascii="Arial" w:hAnsi="Arial" w:eastAsia="Arial" w:cs="Arial"/>
              </w:rPr>
              <w:t xml:space="preserve">Variable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Coefficient</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Intercept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-£51k/MW/yr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Duration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£27.8k/MW/yr per hour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RRT exposure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£127k/MW/yr</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Model R²</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0.999</w:t>
            </w:r>
            <w:r>
              <w:rPr>
                <w:rFonts w:ascii="Arial" w:hAnsi="Arial" w:cs="Arial"/>
              </w:rPr>
            </w:r>
            <w:r>
              <w:rPr>
                <w:rFonts w:ascii="Arial" w:hAnsi="Arial" w:cs="Arial"/>
              </w:rPr>
            </w:r>
          </w:p>
        </w:tc>
      </w:tr>
    </w:tbl>
    <w:p>
      <w:pPr>
        <w:pStyle w:val="872"/>
        <w:pBdr/>
        <w:spacing/>
        <w:ind/>
        <w:rPr>
          <w:rFonts w:ascii="Arial" w:hAnsi="Arial" w:cs="Arial"/>
        </w:rPr>
      </w:pPr>
      <w:r>
        <w:rPr>
          <w:rFonts w:ascii="Arial" w:hAnsi="Arial" w:eastAsia="Arial" w:cs="Arial"/>
          <w:b/>
          <w:bCs/>
        </w:rPr>
        <w:t xml:space="preserve">Interpretation:</w:t>
      </w:r>
      <w:r>
        <w:rPr>
          <w:rFonts w:ascii="Arial" w:hAnsi="Arial" w:eastAsia="Arial" w:cs="Arial"/>
        </w:rPr>
        <w:t xml:space="preserve"> </w:t>
      </w:r>
      <w:r>
        <w:rPr>
          <w:rFonts w:ascii="Arial" w:hAnsi="Arial" w:eastAsia="Arial" w:cs="Arial"/>
        </w:rPr>
        <w:t xml:space="preserve">Within our parameterisation, each additional hour of duration adds £27.8k</w:t>
      </w:r>
      <w:r>
        <w:rPr>
          <w:rFonts w:ascii="Arial" w:hAnsi="Arial" w:eastAsia="Arial" w:cs="Arial"/>
        </w:rPr>
        <w:t xml:space="preserve">/MW/yr to the modelled equivalent annual residual support requirement. This relationship provides evidence that duration should be an explicit calibration variable within technology classes. The coefficient is not proposed as an empirical regulatory value.</w:t>
      </w:r>
      <w:bookmarkEnd w:id="42"/>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43" w:name="X68e0846a5dc51fe04de2fc4334add54bd2b71cb"/>
      <w:r>
        <w:rPr>
          <w:rFonts w:ascii="Arial" w:hAnsi="Arial" w:eastAsia="Arial" w:cs="Arial"/>
        </w:rPr>
        <w:t xml:space="preserve">A.3 Headline Figure 2: Geographic Premium (~30%)</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b/>
          <w:bCs/>
        </w:rPr>
        <w:t xml:space="preserve">Source file:</w:t>
      </w:r>
      <w:r>
        <w:rPr>
          <w:rFonts w:ascii="Arial" w:hAnsi="Arial" w:eastAsia="Arial" w:cs="Arial"/>
        </w:rPr>
        <w:t xml:space="preserve"> </w:t>
      </w:r>
      <w:r>
        <w:rPr>
          <w:rStyle w:val="915"/>
          <w:rFonts w:ascii="Arial" w:hAnsi="Arial" w:eastAsia="Arial" w:cs="Arial"/>
        </w:rPr>
        <w:t xml:space="preserve">ldes_portfolio_risk_adjusted.parquet</w:t>
      </w:r>
      <w:r>
        <w:rPr>
          <w:rFonts w:ascii="Arial" w:hAnsi="Arial" w:eastAsia="Arial" w:cs="Arial"/>
        </w:rPr>
        <w:br/>
      </w:r>
      <w:r>
        <w:rPr>
          <w:rFonts w:ascii="Arial" w:hAnsi="Arial" w:eastAsia="Arial" w:cs="Arial"/>
          <w:b/>
          <w:bCs/>
        </w:rPr>
        <w:t xml:space="preserve">Relevant columns:</w:t>
      </w:r>
      <w:r>
        <w:rPr>
          <w:rFonts w:ascii="Arial" w:hAnsi="Arial" w:eastAsia="Arial" w:cs="Arial"/>
        </w:rPr>
        <w:t xml:space="preserve"> </w:t>
      </w:r>
      <w:r>
        <w:rPr>
          <w:rStyle w:val="915"/>
          <w:rFonts w:ascii="Arial" w:hAnsi="Arial" w:eastAsia="Arial" w:cs="Arial"/>
        </w:rPr>
        <w:t xml:space="preserve">residual_floor_adjusted</w:t>
      </w:r>
      <w:r>
        <w:rPr>
          <w:rFonts w:ascii="Arial" w:hAnsi="Arial" w:eastAsia="Arial" w:cs="Arial"/>
        </w:rPr>
        <w:t xml:space="preserve">,</w:t>
      </w:r>
      <w:r>
        <w:rPr>
          <w:rFonts w:ascii="Arial" w:hAnsi="Arial" w:eastAsia="Arial" w:cs="Arial"/>
        </w:rPr>
        <w:t xml:space="preserve"> </w:t>
      </w:r>
      <w:r>
        <w:rPr>
          <w:rStyle w:val="915"/>
          <w:rFonts w:ascii="Arial" w:hAnsi="Arial" w:eastAsia="Arial" w:cs="Arial"/>
        </w:rPr>
        <w:t xml:space="preserve">duration_hours</w:t>
      </w:r>
      <w:r>
        <w:rPr>
          <w:rFonts w:ascii="Arial" w:hAnsi="Arial" w:eastAsia="Arial" w:cs="Arial"/>
        </w:rPr>
        <w:t xml:space="preserve">,</w:t>
      </w:r>
      <w:r>
        <w:rPr>
          <w:rFonts w:ascii="Arial" w:hAnsi="Arial" w:eastAsia="Arial" w:cs="Arial"/>
        </w:rPr>
        <w:t xml:space="preserve"> </w:t>
      </w:r>
      <w:r>
        <w:rPr>
          <w:rStyle w:val="915"/>
          <w:rFonts w:ascii="Arial" w:hAnsi="Arial" w:eastAsia="Arial" w:cs="Arial"/>
        </w:rPr>
        <w:t xml:space="preserve">rrt_applicable</w:t>
      </w:r>
      <w:r>
        <w:rPr>
          <w:rFonts w:ascii="Arial" w:hAnsi="Arial" w:eastAsia="Arial" w:cs="Arial"/>
        </w:rPr>
        <w:br/>
      </w:r>
      <w:r>
        <w:rPr>
          <w:rFonts w:ascii="Arial" w:hAnsi="Arial" w:eastAsia="Arial" w:cs="Arial"/>
          <w:b/>
          <w:bCs/>
        </w:rPr>
        <w:t xml:space="preserve">Scenario:</w:t>
      </w:r>
      <w:r>
        <w:rPr>
          <w:rFonts w:ascii="Arial" w:hAnsi="Arial" w:eastAsia="Arial" w:cs="Arial"/>
        </w:rPr>
        <w:t xml:space="preserve"> </w:t>
      </w:r>
      <w:r>
        <w:rPr>
          <w:rFonts w:ascii="Arial" w:hAnsi="Arial" w:eastAsia="Arial" w:cs="Arial"/>
        </w:rPr>
        <w:t xml:space="preserve">Risk-adjusted</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Duration-controlled premiums:</w:t>
      </w:r>
      <w:r>
        <w:rPr>
          <w:rFonts w:ascii="Arial" w:hAnsi="Arial" w:cs="Arial"/>
        </w:rPr>
      </w:r>
      <w:r>
        <w:rPr>
          <w:rFonts w:ascii="Arial" w:hAnsi="Arial" w:cs="Arial"/>
        </w:rPr>
      </w:r>
    </w:p>
    <w:tbl>
      <w:tblPr>
        <w:tblStyle w:val="906"/>
        <w:tblW w:w="0" w:type="auto"/>
        <w:tblBorders/>
        <w:tblLook w:val="0020" w:firstRow="1" w:lastRow="0" w:firstColumn="0" w:lastColumn="0" w:noHBand="0" w:noVBand="0"/>
      </w:tblPr>
      <w:tblGrid>
        <w:gridCol w:w="2640"/>
        <w:gridCol w:w="2640"/>
        <w:gridCol w:w="2640"/>
      </w:tblGrid>
      <w:tr>
        <w:trPr>
          <w:tblHeader/>
        </w:trPr>
        <w:tc>
          <w:tcPr>
            <w:tcBorders/>
          </w:tcPr>
          <w:p>
            <w:pPr>
              <w:pStyle w:val="874"/>
              <w:pBdr/>
              <w:spacing/>
              <w:ind/>
              <w:rPr>
                <w:rFonts w:ascii="Arial" w:hAnsi="Arial" w:cs="Arial"/>
              </w:rPr>
            </w:pPr>
            <w:r>
              <w:rPr>
                <w:rFonts w:ascii="Arial" w:hAnsi="Arial" w:eastAsia="Arial" w:cs="Arial"/>
              </w:rPr>
              <w:t xml:space="preserve">Project</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Duration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Premium</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Netherton</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16.3h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+30.1%</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Fyrish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16.5h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+29.9%</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New Deer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18.0h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+29.3%</w:t>
            </w:r>
            <w:r>
              <w:rPr>
                <w:rFonts w:ascii="Arial" w:hAnsi="Arial" w:cs="Arial"/>
              </w:rPr>
            </w:r>
            <w:r>
              <w:rPr>
                <w:rFonts w:ascii="Arial" w:hAnsi="Arial" w:cs="Arial"/>
              </w:rPr>
            </w:r>
          </w:p>
        </w:tc>
      </w:tr>
      <w:tr>
        <w:trPr/>
        <w:tc>
          <w:tcPr>
            <w:tcBorders/>
          </w:tcPr>
          <w:p>
            <w:pPr>
              <w:pStyle w:val="874"/>
              <w:pBdr/>
              <w:spacing/>
              <w:ind/>
              <w:rPr>
                <w:rFonts w:ascii="Arial" w:hAnsi="Arial" w:cs="Arial"/>
              </w:rPr>
            </w:pPr>
            <w:r>
              <w:rPr>
                <w:rFonts w:ascii="Arial" w:hAnsi="Arial" w:eastAsia="Arial" w:cs="Arial"/>
              </w:rPr>
              <w:t xml:space="preserve">Field Rigifa</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18.0h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+29.3%</w:t>
            </w:r>
            <w:r>
              <w:rPr>
                <w:rFonts w:ascii="Arial" w:hAnsi="Arial" w:cs="Arial"/>
              </w:rPr>
            </w:r>
            <w:r>
              <w:rPr>
                <w:rFonts w:ascii="Arial" w:hAnsi="Arial" w:cs="Arial"/>
              </w:rPr>
            </w:r>
          </w:p>
        </w:tc>
      </w:tr>
    </w:tbl>
    <w:p w14:paraId="0B32D94B">
      <w:pPr>
        <w:pStyle w:val="872"/>
        <w:pBdr/>
        <w:spacing/>
        <w:ind/>
        <w:rPr>
          <w:rFonts w:ascii="Arial" w:hAnsi="Arial" w:cs="Arial"/>
        </w:rPr>
      </w:pPr>
      <w:r>
        <w:rPr>
          <w:rFonts w:ascii="Arial" w:hAnsi="Arial" w:eastAsia="Arial" w:cs="Arial"/>
          <w:b/>
          <w:bCs/>
          <w:highlight w:val="none"/>
        </w:rPr>
      </w:r>
      <w:r>
        <w:rPr>
          <w:rFonts w:ascii="Arial" w:hAnsi="Arial" w:eastAsia="Arial" w:cs="Arial"/>
          <w:b/>
          <w:bCs/>
          <w:highlight w:val="none"/>
        </w:rPr>
      </w:r>
      <w:r>
        <w:rPr>
          <w:rFonts w:ascii="Arial" w:hAnsi="Arial" w:eastAsia="Arial" w:cs="Arial"/>
          <w:b/>
          <w:bCs/>
          <w:highlight w:val="none"/>
        </w:rPr>
      </w:r>
    </w:p>
    <w:p w14:paraId="644DCD19">
      <w:pPr>
        <w:pStyle w:val="872"/>
        <w:pBdr/>
        <w:spacing/>
        <w:ind/>
        <w:rPr>
          <w:rFonts w:ascii="Arial" w:hAnsi="Arial" w:eastAsia="Arial" w:cs="Arial"/>
          <w:b/>
          <w:bCs/>
          <w:highlight w:val="none"/>
        </w:rPr>
      </w:pPr>
      <w:r>
        <w:rPr>
          <w:rFonts w:ascii="Arial" w:hAnsi="Arial" w:eastAsia="Arial" w:cs="Arial"/>
          <w:b/>
          <w:bCs/>
          <w:highlight w:val="none"/>
        </w:rPr>
      </w:r>
      <w:r>
        <w:rPr>
          <w:rFonts w:ascii="Arial" w:hAnsi="Arial" w:eastAsia="Arial" w:cs="Arial"/>
          <w:b/>
          <w:bCs/>
          <w:highlight w:val="none"/>
        </w:rPr>
      </w:r>
      <w:r>
        <w:rPr>
          <w:rFonts w:ascii="Arial" w:hAnsi="Arial" w:eastAsia="Arial" w:cs="Arial"/>
          <w:b/>
          <w:bCs/>
          <w:highlight w:val="none"/>
        </w:rPr>
      </w:r>
    </w:p>
    <w:p>
      <w:pPr>
        <w:pStyle w:val="872"/>
        <w:pBdr/>
        <w:spacing/>
        <w:ind/>
        <w:rPr>
          <w:rFonts w:ascii="Arial" w:hAnsi="Arial" w:eastAsia="Arial" w:cs="Arial"/>
          <w:b/>
          <w:bCs/>
          <w:highlight w:val="none"/>
        </w:rPr>
      </w:pPr>
      <w:r>
        <w:rPr>
          <w:rFonts w:ascii="Arial" w:hAnsi="Arial" w:eastAsia="Arial" w:cs="Arial"/>
          <w:b/>
          <w:bCs/>
        </w:rPr>
        <w:t xml:space="preserve">Model structure:</w:t>
      </w:r>
      <w:r>
        <w:rPr>
          <w:rFonts w:ascii="Arial" w:hAnsi="Arial" w:cs="Arial"/>
        </w:rPr>
      </w:r>
      <w:r>
        <w:rPr>
          <w:rFonts w:ascii="Arial" w:hAnsi="Arial" w:cs="Arial"/>
        </w:rPr>
      </w:r>
    </w:p>
    <w:p>
      <w:pPr>
        <w:pStyle w:val="920"/>
        <w:pBdr/>
        <w:spacing/>
        <w:ind/>
        <w:rPr>
          <w:rFonts w:ascii="Arial" w:hAnsi="Arial" w:cs="Arial"/>
        </w:rPr>
      </w:pPr>
      <w:r>
        <w:rPr>
          <w:rStyle w:val="915"/>
          <w:rFonts w:ascii="Arial" w:hAnsi="Arial" w:eastAsia="Arial" w:cs="Arial"/>
        </w:rPr>
        <w:t xml:space="preserve">duration_resilience = min(1.0, duration_hours / 24.0)</w:t>
      </w:r>
      <w:r>
        <w:rPr>
          <w:rFonts w:ascii="Arial" w:hAnsi="Arial" w:eastAsia="Arial" w:cs="Arial"/>
        </w:rPr>
        <w:br/>
      </w:r>
      <w:r>
        <w:rPr>
          <w:rFonts w:ascii="Arial" w:hAnsi="Arial" w:eastAsia="Arial" w:cs="Arial"/>
        </w:rPr>
        <w:br/>
      </w:r>
      <w:r>
        <w:rPr>
          <w:rStyle w:val="915"/>
          <w:rFonts w:ascii="Arial" w:hAnsi="Arial" w:eastAsia="Arial" w:cs="Arial"/>
        </w:rPr>
        <w:t xml:space="preserve">curtailment_loss_factor = rrt_persistence_score × (1 - duration_resilience)</w:t>
      </w:r>
      <w:r>
        <w:rPr>
          <w:rFonts w:ascii="Arial" w:hAnsi="Arial" w:eastAsia="Arial" w:cs="Arial"/>
        </w:rPr>
        <w:br/>
      </w:r>
      <w:r>
        <w:rPr>
          <w:rFonts w:ascii="Arial" w:hAnsi="Arial" w:eastAsia="Arial" w:cs="Arial"/>
        </w:rPr>
        <w:br/>
      </w:r>
      <w:r>
        <w:rPr>
          <w:rStyle w:val="915"/>
          <w:rFonts w:ascii="Arial" w:hAnsi="Arial" w:eastAsia="Arial" w:cs="Arial"/>
        </w:rPr>
        <w:t xml:space="preserve">delivered_fraction = 1 - curtailment_loss_factor</w:t>
      </w:r>
      <w:r>
        <w:rPr>
          <w:rFonts w:ascii="Arial" w:hAnsi="Arial" w:eastAsia="Arial" w:cs="Arial"/>
        </w:rPr>
        <w:br/>
      </w:r>
      <w:r>
        <w:rPr>
          <w:rFonts w:ascii="Arial" w:hAnsi="Arial" w:eastAsia="Arial" w:cs="Arial"/>
        </w:rPr>
        <w:br/>
      </w:r>
      <w:r>
        <w:rPr>
          <w:rStyle w:val="915"/>
          <w:rFonts w:ascii="Arial" w:hAnsi="Arial" w:eastAsia="Arial" w:cs="Arial"/>
        </w:rPr>
        <w:t xml:space="preserve">LCOS adjustment = total_annual_cost / adjusted_mwh_delivered</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b/>
          <w:bCs/>
        </w:rPr>
        <w:t xml:space="preserve">Important caveat — Balancing Mechanism redispatch:</w:t>
      </w:r>
      <w:r>
        <w:rPr>
          <w:rFonts w:ascii="Arial" w:hAnsi="Arial" w:eastAsia="Arial" w:cs="Arial"/>
        </w:rPr>
        <w:br/>
      </w:r>
      <w:r>
        <w:rPr>
          <w:rFonts w:ascii="Arial" w:hAnsi="Arial" w:eastAsia="Arial" w:cs="Arial"/>
        </w:rPr>
        <w:t xml:space="preserve">The model assumes </w:t>
      </w:r>
      <w:r>
        <w:rPr>
          <w:rFonts w:ascii="Arial" w:hAnsi="Arial" w:eastAsia="Arial" w:cs="Arial"/>
        </w:rPr>
        <w:t xml:space="preserve">full curtailment exposure during constraint-active hours for SSEN-S. The magnitude may be overstated if partial Balancing Mechanism redispatch revenue is available during constraint events, in which case the true geographic premium would be lower than 30%.</w:t>
      </w:r>
      <w:bookmarkEnd w:id="43"/>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44" w:name="a.4-psh-support-requirement"/>
      <w:r>
        <w:rPr>
          <w:rFonts w:ascii="Arial" w:hAnsi="Arial" w:eastAsia="Arial" w:cs="Arial"/>
        </w:rPr>
        <w:t xml:space="preserve">A.4 PSH Support Requirement</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rPr>
        <w:t xml:space="preserve">PSH projects demonstrate robust near-zero modelled equivalent annual residual support requirements, including under IDC stres</w:t>
      </w:r>
      <w:r>
        <w:rPr>
          <w:rFonts w:ascii="Arial" w:hAnsi="Arial" w:eastAsia="Arial" w:cs="Arial"/>
        </w:rPr>
        <w:t xml:space="preserve">s testing. This should not be interpreted as evidence that PSH does not require a cap and floor regime; rather, it indicates that PSH appears materially less reliant on floor-related payments than Li-ion within our simplified energy/capacity revenue stack.</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IDC stress test:</w:t>
      </w:r>
      <w:r>
        <w:rPr>
          <w:rFonts w:ascii="Arial" w:hAnsi="Arial" w:cs="Arial"/>
        </w:rPr>
      </w:r>
      <w:r>
        <w:rPr>
          <w:rFonts w:ascii="Arial" w:hAnsi="Arial" w:cs="Arial"/>
        </w:rPr>
      </w:r>
    </w:p>
    <w:tbl>
      <w:tblPr>
        <w:tblStyle w:val="906"/>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874"/>
              <w:pBdr/>
              <w:spacing/>
              <w:ind/>
              <w:jc w:val="right"/>
              <w:rPr>
                <w:rFonts w:ascii="Arial" w:hAnsi="Arial" w:cs="Arial"/>
              </w:rPr>
            </w:pPr>
            <w:r>
              <w:rPr>
                <w:rFonts w:ascii="Arial" w:hAnsi="Arial" w:eastAsia="Arial" w:cs="Arial"/>
              </w:rPr>
              <w:t xml:space="preserve">WACC</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Construction Years</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IDC Factor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PSH Modelled Residual</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1.36x</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£0k/MW/yr</w:t>
            </w:r>
            <w:r>
              <w:rPr>
                <w:rFonts w:ascii="Arial" w:hAnsi="Arial" w:cs="Arial"/>
              </w:rPr>
            </w:r>
            <w:r>
              <w:rPr>
                <w:rFonts w:ascii="Arial" w:hAnsi="Arial" w:cs="Arial"/>
              </w:rPr>
            </w:r>
          </w:p>
        </w:tc>
      </w:tr>
    </w:tbl>
    <w:p>
      <w:pPr>
        <w:pStyle w:val="872"/>
        <w:pBdr/>
        <w:spacing/>
        <w:ind/>
        <w:rPr>
          <w:rFonts w:ascii="Arial" w:hAnsi="Arial" w:cs="Arial"/>
        </w:rPr>
      </w:pPr>
      <w:r>
        <w:rPr>
          <w:rFonts w:ascii="Arial" w:hAnsi="Arial" w:eastAsia="Arial" w:cs="Arial"/>
        </w:rPr>
        <w:t xml:space="preserve">All three PSH projects maintained £0k modelled residual top-up under this stress test. The finding is robust to construction-period financing risk under the modelled assumptions.</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b/>
          <w:bCs/>
        </w:rPr>
        <w:t xml:space="preserve">External validation:</w:t>
      </w:r>
      <w:r>
        <w:rPr>
          <w:rFonts w:ascii="Arial" w:hAnsi="Arial" w:eastAsia="Arial" w:cs="Arial"/>
        </w:rPr>
        <w:br/>
      </w:r>
      <w:r>
        <w:rPr>
          <w:rFonts w:ascii="Arial" w:hAnsi="Arial" w:eastAsia="Arial" w:cs="Arial"/>
        </w:rPr>
        <w:t xml:space="preserve">Snowy 2.0 provides a useful external benchmark for the order of magnitude of PSH energy-capacity cost, though direct comparison is sensitive to FX, scope, financing treatment and project-specific geology. The £20k/MWh assumption is directionally plausible.</w:t>
      </w:r>
      <w:bookmarkEnd w:id="44"/>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45" w:name="a.5-li-ion-lifecycle-multiplier"/>
      <w:r>
        <w:rPr>
          <w:rFonts w:ascii="Arial" w:hAnsi="Arial" w:eastAsia="Arial" w:cs="Arial"/>
        </w:rPr>
        <w:t xml:space="preserve">A.5 Li-ion Lifecycle Multiplier</w:t>
      </w:r>
      <w:r>
        <w:rPr>
          <w:rFonts w:ascii="Arial" w:hAnsi="Arial" w:cs="Arial"/>
        </w:rPr>
      </w:r>
      <w:r>
        <w:rPr>
          <w:rFonts w:ascii="Arial" w:hAnsi="Arial" w:cs="Arial"/>
        </w:rPr>
      </w:r>
    </w:p>
    <w:p>
      <w:pPr>
        <w:pStyle w:val="873"/>
        <w:pBdr/>
        <w:spacing/>
        <w:ind/>
        <w:rPr>
          <w:rFonts w:ascii="Arial" w:hAnsi="Arial" w:cs="Arial"/>
        </w:rPr>
      </w:pPr>
      <w:r>
        <w:rPr>
          <w:rFonts w:ascii="Arial" w:hAnsi="Arial" w:eastAsia="Arial" w:cs="Arial"/>
          <w:b/>
          <w:bCs/>
        </w:rPr>
        <w:t xml:space="preserve">Source file:</w:t>
      </w:r>
      <w:r>
        <w:rPr>
          <w:rFonts w:ascii="Arial" w:hAnsi="Arial" w:eastAsia="Arial" w:cs="Arial"/>
        </w:rPr>
        <w:t xml:space="preserve"> </w:t>
      </w:r>
      <w:r>
        <w:rPr>
          <w:rStyle w:val="915"/>
          <w:rFonts w:ascii="Arial" w:hAnsi="Arial" w:eastAsia="Arial" w:cs="Arial"/>
        </w:rPr>
        <w:t xml:space="preserve">ldes_portfolio_economics.parquet</w:t>
      </w:r>
      <w:r>
        <w:rPr>
          <w:rFonts w:ascii="Arial" w:hAnsi="Arial" w:eastAsia="Arial" w:cs="Arial"/>
        </w:rPr>
        <w:br/>
      </w:r>
      <w:r>
        <w:rPr>
          <w:rFonts w:ascii="Arial" w:hAnsi="Arial" w:eastAsia="Arial" w:cs="Arial"/>
          <w:b/>
          <w:bCs/>
        </w:rPr>
        <w:t xml:space="preserve">Relevant columns:</w:t>
      </w:r>
      <w:r>
        <w:rPr>
          <w:rFonts w:ascii="Arial" w:hAnsi="Arial" w:eastAsia="Arial" w:cs="Arial"/>
        </w:rPr>
        <w:t xml:space="preserve"> </w:t>
      </w:r>
      <w:r>
        <w:rPr>
          <w:rStyle w:val="915"/>
          <w:rFonts w:ascii="Arial" w:hAnsi="Arial" w:eastAsia="Arial" w:cs="Arial"/>
        </w:rPr>
        <w:t xml:space="preserve">initial_capex_gbp</w:t>
      </w:r>
      <w:r>
        <w:rPr>
          <w:rFonts w:ascii="Arial" w:hAnsi="Arial" w:eastAsia="Arial" w:cs="Arial"/>
        </w:rPr>
        <w:t xml:space="preserve">,</w:t>
      </w:r>
      <w:r>
        <w:rPr>
          <w:rFonts w:ascii="Arial" w:hAnsi="Arial" w:eastAsia="Arial" w:cs="Arial"/>
        </w:rPr>
        <w:t xml:space="preserve"> </w:t>
      </w:r>
      <w:r>
        <w:rPr>
          <w:rStyle w:val="915"/>
          <w:rFonts w:ascii="Arial" w:hAnsi="Arial" w:eastAsia="Arial" w:cs="Arial"/>
        </w:rPr>
        <w:t xml:space="preserve">lifecycle_capex_gbp</w:t>
      </w:r>
      <w:r>
        <w:rPr>
          <w:rFonts w:ascii="Arial" w:hAnsi="Arial" w:cs="Arial"/>
        </w:rPr>
      </w:r>
      <w:r>
        <w:rPr>
          <w:rFonts w:ascii="Arial" w:hAnsi="Arial" w:cs="Arial"/>
        </w:rPr>
      </w:r>
    </w:p>
    <w:p>
      <w:pPr>
        <w:pStyle w:val="872"/>
        <w:pBdr/>
        <w:spacing/>
        <w:ind/>
        <w:rPr>
          <w:rFonts w:ascii="Arial" w:hAnsi="Arial" w:cs="Arial"/>
        </w:rPr>
      </w:pPr>
      <w:r>
        <w:rPr>
          <w:rFonts w:ascii="Arial" w:hAnsi="Arial" w:eastAsia="Arial" w:cs="Arial"/>
        </w:rPr>
        <w:t xml:space="preserve">Our model applies an industry-consistent 25-year augmentation schedule to Li-ion technology, yielding a 1.70x lifecycle cost multiplier. This reflects the cumulative cost of mid-life battery replacement over the 40-year project lifecycle.</w:t>
      </w:r>
      <w:r>
        <w:rPr>
          <w:rFonts w:ascii="Arial" w:hAnsi="Arial" w:cs="Arial"/>
        </w:rPr>
      </w:r>
      <w:r>
        <w:rPr>
          <w:rFonts w:ascii="Arial" w:hAnsi="Arial" w:cs="Arial"/>
        </w:rPr>
      </w:r>
    </w:p>
    <w:p>
      <w:pPr>
        <w:pBdr/>
        <w:spacing/>
        <w:ind/>
        <w:rPr>
          <w:rFonts w:ascii="Arial" w:hAnsi="Arial" w:cs="Arial"/>
        </w:rPr>
      </w:pPr>
      <w:r>
        <w:rPr>
          <w:rFonts w:ascii="Arial" w:hAnsi="Arial" w:eastAsia="Arial" w:cs="Arial"/>
        </w:rPr>
        <w:pict>
          <v:shape id="shape 12" o:spid="_x0000_s12" o:spt="1" type="#_x0000_t1" style="width:0.00pt;height:1.50pt;mso-wrap-distance-left:0.00pt;mso-wrap-distance-top:0.00pt;mso-wrap-distance-right:0.00pt;mso-wrap-distance-bottom:0.00pt;visibility:visible;" fillcolor="#FFFFFF" strokecolor="#000000" o:hr="t" o:hrstd="t" o:hralign="center" o:hrnoshade="f"/>
        </w:pict>
      </w:r>
      <w:bookmarkEnd w:id="45"/>
      <w:r/>
      <w:bookmarkEnd w:id="46"/>
      <w:r>
        <w:rPr>
          <w:rFonts w:ascii="Arial" w:hAnsi="Arial" w:cs="Arial"/>
        </w:rPr>
      </w:r>
      <w:r>
        <w:rPr>
          <w:rFonts w:ascii="Arial" w:hAnsi="Arial" w:cs="Arial"/>
        </w:rPr>
      </w:r>
    </w:p>
    <w:p>
      <w:pPr>
        <w:pStyle w:val="885"/>
        <w:pBdr/>
        <w:spacing/>
        <w:ind/>
        <w:rPr>
          <w:rFonts w:ascii="Arial" w:hAnsi="Arial" w:cs="Arial"/>
        </w:rPr>
      </w:pPr>
      <w:r>
        <w:rPr>
          <w:rFonts w:ascii="Arial" w:hAnsi="Arial" w:eastAsia="Arial" w:cs="Arial"/>
        </w:rPr>
      </w:r>
      <w:bookmarkStart w:id="50" w:name="annex-b-sensitivity-analysis"/>
      <w:r>
        <w:rPr>
          <w:rFonts w:ascii="Arial" w:hAnsi="Arial" w:eastAsia="Arial" w:cs="Arial"/>
        </w:rPr>
        <w:t xml:space="preserve">Annex B: Sensitivity Analysis</w:t>
      </w:r>
      <w:r>
        <w:rPr>
          <w:rFonts w:ascii="Arial" w:hAnsi="Arial" w:cs="Arial"/>
        </w:rPr>
      </w:r>
      <w:r>
        <w:rPr>
          <w:rFonts w:ascii="Arial" w:hAnsi="Arial" w:cs="Arial"/>
        </w:rPr>
      </w:r>
    </w:p>
    <w:p>
      <w:pPr>
        <w:pStyle w:val="886"/>
        <w:pBdr/>
        <w:spacing/>
        <w:ind/>
        <w:rPr>
          <w:rFonts w:ascii="Arial" w:hAnsi="Arial" w:cs="Arial"/>
        </w:rPr>
      </w:pPr>
      <w:r>
        <w:rPr>
          <w:rFonts w:ascii="Arial" w:hAnsi="Arial" w:eastAsia="Arial" w:cs="Arial"/>
        </w:rPr>
      </w:r>
      <w:bookmarkStart w:id="47" w:name="b.1-psh-capex-sensitivity"/>
      <w:r>
        <w:rPr>
          <w:rFonts w:ascii="Arial" w:hAnsi="Arial" w:eastAsia="Arial" w:cs="Arial"/>
        </w:rPr>
        <w:t xml:space="preserve">B.1 PSH Capex Sensitivity</w:t>
      </w:r>
      <w:r>
        <w:rPr>
          <w:rFonts w:ascii="Arial" w:hAnsi="Arial" w:cs="Arial"/>
        </w:rPr>
      </w:r>
      <w:r>
        <w:rPr>
          <w:rFonts w:ascii="Arial" w:hAnsi="Arial" w:cs="Arial"/>
        </w:rPr>
      </w:r>
    </w:p>
    <w:tbl>
      <w:tblPr>
        <w:tblStyle w:val="906"/>
        <w:tblW w:w="5000" w:type="pct"/>
        <w:tblBorders/>
        <w:tblLayout w:type="fixed"/>
        <w:tblLook w:val="0020" w:firstRow="1" w:lastRow="0" w:firstColumn="0" w:lastColumn="0" w:noHBand="0" w:noVBand="0"/>
      </w:tblPr>
      <w:tblGrid>
        <w:gridCol w:w="1667"/>
        <w:gridCol w:w="1667"/>
        <w:gridCol w:w="1667"/>
        <w:gridCol w:w="1667"/>
        <w:gridCol w:w="1250"/>
      </w:tblGrid>
      <w:tr>
        <w:trPr>
          <w:tblHeader/>
        </w:trPr>
        <w:tc>
          <w:tcPr>
            <w:tcBorders/>
          </w:tcPr>
          <w:p>
            <w:pPr>
              <w:pStyle w:val="874"/>
              <w:pBdr/>
              <w:spacing/>
              <w:ind/>
              <w:jc w:val="right"/>
              <w:rPr>
                <w:rFonts w:ascii="Arial" w:hAnsi="Arial" w:cs="Arial"/>
              </w:rPr>
            </w:pPr>
            <w:r>
              <w:rPr>
                <w:rFonts w:ascii="Arial" w:hAnsi="Arial" w:eastAsia="Arial" w:cs="Arial"/>
              </w:rPr>
              <w:t xml:space="preserve">capex_mwh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Coire Glas Modelled Residual</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Earba Modelled Residual</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Loch Kemp Modelled Residual</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Status</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£15k/MWh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Materially less reliant</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£20k/MWh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Materially less reliant</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£25k/MWh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Materially less reliant</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£30k/MWh</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c>
          <w:tcPr>
            <w:tcBorders/>
          </w:tcPr>
          <w:p>
            <w:pPr>
              <w:pStyle w:val="874"/>
              <w:pBdr/>
              <w:spacing/>
              <w:ind/>
              <w:rPr>
                <w:rFonts w:ascii="Arial" w:hAnsi="Arial" w:cs="Arial"/>
              </w:rPr>
            </w:pPr>
            <w:r>
              <w:rPr>
                <w:rFonts w:ascii="Arial" w:hAnsi="Arial" w:eastAsia="Arial" w:cs="Arial"/>
              </w:rPr>
              <w:t xml:space="preserve">Materially less reliant</w:t>
            </w:r>
            <w:bookmarkEnd w:id="47"/>
            <w:r>
              <w:rPr>
                <w:rFonts w:ascii="Arial" w:hAnsi="Arial" w:cs="Arial"/>
              </w:rPr>
            </w:r>
            <w:r>
              <w:rPr>
                <w:rFonts w:ascii="Arial" w:hAnsi="Arial" w:cs="Arial"/>
              </w:rPr>
            </w:r>
          </w:p>
        </w:tc>
      </w:tr>
    </w:tbl>
    <w:p>
      <w:pPr>
        <w:pStyle w:val="886"/>
        <w:pBdr/>
        <w:spacing/>
        <w:ind/>
        <w:rPr>
          <w:rFonts w:ascii="Arial" w:hAnsi="Arial" w:cs="Arial"/>
        </w:rPr>
      </w:pPr>
      <w:r>
        <w:rPr>
          <w:rFonts w:ascii="Arial" w:hAnsi="Arial" w:eastAsia="Arial" w:cs="Arial"/>
        </w:rPr>
      </w:r>
      <w:bookmarkStart w:id="48" w:name="b.2-idc-sensitivity"/>
      <w:r>
        <w:rPr>
          <w:rFonts w:ascii="Arial" w:hAnsi="Arial" w:eastAsia="Arial" w:cs="Arial"/>
        </w:rPr>
        <w:t xml:space="preserve">B.2 IDC Sensitivity</w:t>
      </w:r>
      <w:r>
        <w:rPr>
          <w:rFonts w:ascii="Arial" w:hAnsi="Arial" w:cs="Arial"/>
        </w:rPr>
      </w:r>
      <w:r>
        <w:rPr>
          <w:rFonts w:ascii="Arial" w:hAnsi="Arial" w:cs="Arial"/>
        </w:rPr>
      </w:r>
    </w:p>
    <w:tbl>
      <w:tblPr>
        <w:tblStyle w:val="906"/>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874"/>
              <w:pBdr/>
              <w:spacing/>
              <w:ind/>
              <w:jc w:val="right"/>
              <w:rPr>
                <w:rFonts w:ascii="Arial" w:hAnsi="Arial" w:cs="Arial"/>
              </w:rPr>
            </w:pPr>
            <w:r>
              <w:rPr>
                <w:rFonts w:ascii="Arial" w:hAnsi="Arial" w:eastAsia="Arial" w:cs="Arial"/>
              </w:rPr>
              <w:t xml:space="preserve">WACC</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Construction Years</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IDC Factor</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PSH Modelled Residual</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6%</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1.27x</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1.36x</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1.47x</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8%</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1.47x</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£0k</w:t>
            </w:r>
            <w:bookmarkEnd w:id="48"/>
            <w:r>
              <w:rPr>
                <w:rFonts w:ascii="Arial" w:hAnsi="Arial" w:cs="Arial"/>
              </w:rPr>
            </w:r>
            <w:r>
              <w:rPr>
                <w:rFonts w:ascii="Arial" w:hAnsi="Arial" w:cs="Arial"/>
              </w:rPr>
            </w:r>
          </w:p>
        </w:tc>
      </w:tr>
    </w:tbl>
    <w:p>
      <w:pPr>
        <w:pStyle w:val="886"/>
        <w:pBdr/>
        <w:spacing/>
        <w:ind/>
        <w:rPr>
          <w:rFonts w:ascii="Arial" w:hAnsi="Arial" w:cs="Arial"/>
        </w:rPr>
      </w:pPr>
      <w:r>
        <w:rPr>
          <w:rFonts w:ascii="Arial" w:hAnsi="Arial" w:eastAsia="Arial" w:cs="Arial"/>
        </w:rPr>
      </w:r>
      <w:bookmarkStart w:id="49" w:name="b.3-rrt-persistence-sensitivity"/>
      <w:r>
        <w:rPr>
          <w:rFonts w:ascii="Arial" w:hAnsi="Arial" w:eastAsia="Arial" w:cs="Arial"/>
        </w:rPr>
        <w:t xml:space="preserve">B.3 RRT Persistence Sensitivity</w:t>
      </w:r>
      <w:r>
        <w:rPr>
          <w:rFonts w:ascii="Arial" w:hAnsi="Arial" w:cs="Arial"/>
        </w:rPr>
      </w:r>
      <w:r>
        <w:rPr>
          <w:rFonts w:ascii="Arial" w:hAnsi="Arial" w:cs="Arial"/>
        </w:rPr>
      </w:r>
    </w:p>
    <w:tbl>
      <w:tblPr>
        <w:tblStyle w:val="906"/>
        <w:tblW w:w="0" w:type="auto"/>
        <w:tblBorders/>
        <w:tblLook w:val="0020" w:firstRow="1" w:lastRow="0" w:firstColumn="0" w:lastColumn="0" w:noHBand="0" w:noVBand="0"/>
      </w:tblPr>
      <w:tblGrid>
        <w:gridCol w:w="3960"/>
        <w:gridCol w:w="3960"/>
      </w:tblGrid>
      <w:tr>
        <w:trPr>
          <w:tblHeader/>
        </w:trPr>
        <w:tc>
          <w:tcPr>
            <w:tcBorders/>
          </w:tcPr>
          <w:p>
            <w:pPr>
              <w:pStyle w:val="874"/>
              <w:pBdr/>
              <w:spacing/>
              <w:ind/>
              <w:jc w:val="right"/>
              <w:rPr>
                <w:rFonts w:ascii="Arial" w:hAnsi="Arial" w:cs="Arial"/>
              </w:rPr>
            </w:pPr>
            <w:r>
              <w:rPr>
                <w:rFonts w:ascii="Arial" w:hAnsi="Arial" w:eastAsia="Arial" w:cs="Arial"/>
              </w:rPr>
              <w:t xml:space="preserve">Persistence Score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Geographic Premium</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0.70</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~20%</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0.82 baseline</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~30%</w:t>
            </w:r>
            <w:r>
              <w:rPr>
                <w:rFonts w:ascii="Arial" w:hAnsi="Arial" w:cs="Arial"/>
              </w:rPr>
            </w:r>
            <w:r>
              <w:rPr>
                <w:rFonts w:ascii="Arial" w:hAnsi="Arial" w:cs="Arial"/>
              </w:rPr>
            </w:r>
          </w:p>
        </w:tc>
      </w:tr>
      <w:tr>
        <w:trPr/>
        <w:tc>
          <w:tcPr>
            <w:tcBorders/>
          </w:tcPr>
          <w:p>
            <w:pPr>
              <w:pStyle w:val="874"/>
              <w:pBdr/>
              <w:spacing/>
              <w:ind/>
              <w:jc w:val="right"/>
              <w:rPr>
                <w:rFonts w:ascii="Arial" w:hAnsi="Arial" w:cs="Arial"/>
              </w:rPr>
            </w:pPr>
            <w:r>
              <w:rPr>
                <w:rFonts w:ascii="Arial" w:hAnsi="Arial" w:eastAsia="Arial" w:cs="Arial"/>
              </w:rPr>
              <w:t xml:space="preserve">0.90</w:t>
            </w:r>
            <w:r>
              <w:rPr>
                <w:rFonts w:ascii="Arial" w:hAnsi="Arial" w:cs="Arial"/>
              </w:rPr>
            </w:r>
            <w:r>
              <w:rPr>
                <w:rFonts w:ascii="Arial" w:hAnsi="Arial" w:cs="Arial"/>
              </w:rPr>
            </w:r>
          </w:p>
        </w:tc>
        <w:tc>
          <w:tcPr>
            <w:tcBorders/>
          </w:tcPr>
          <w:p>
            <w:pPr>
              <w:pStyle w:val="874"/>
              <w:pBdr/>
              <w:spacing/>
              <w:ind/>
              <w:jc w:val="right"/>
              <w:rPr>
                <w:rFonts w:ascii="Arial" w:hAnsi="Arial" w:cs="Arial"/>
              </w:rPr>
            </w:pPr>
            <w:r>
              <w:rPr>
                <w:rFonts w:ascii="Arial" w:hAnsi="Arial" w:eastAsia="Arial" w:cs="Arial"/>
              </w:rPr>
              <w:t xml:space="preserve">~40%</w:t>
            </w:r>
            <w:r>
              <w:rPr>
                <w:rFonts w:ascii="Arial" w:hAnsi="Arial" w:cs="Arial"/>
              </w:rPr>
            </w:r>
            <w:r>
              <w:rPr>
                <w:rFonts w:ascii="Arial" w:hAnsi="Arial" w:cs="Arial"/>
              </w:rPr>
            </w:r>
          </w:p>
        </w:tc>
      </w:tr>
    </w:tbl>
    <w:p>
      <w:pPr>
        <w:pBdr/>
        <w:spacing/>
        <w:ind/>
        <w:rPr>
          <w:rFonts w:ascii="Arial" w:hAnsi="Arial" w:cs="Arial"/>
        </w:rPr>
      </w:pPr>
      <w:r>
        <w:rPr>
          <w:rFonts w:ascii="Arial" w:hAnsi="Arial" w:eastAsia="Arial" w:cs="Arial"/>
        </w:rPr>
        <w:pict>
          <v:shape id="shape 13" o:spid="_x0000_s13" o:spt="1" type="#_x0000_t1" style="width:0.00pt;height:1.50pt;mso-wrap-distance-left:0.00pt;mso-wrap-distance-top:0.00pt;mso-wrap-distance-right:0.00pt;mso-wrap-distance-bottom:0.00pt;visibility:visible;" fillcolor="#FFFFFF" strokecolor="#000000" o:hr="t" o:hrstd="t" o:hralign="center" o:hrnoshade="f"/>
        </w:pict>
      </w:r>
      <w:bookmarkEnd w:id="49"/>
      <w:r/>
      <w:bookmarkEnd w:id="50"/>
      <w:r>
        <w:rPr>
          <w:rFonts w:ascii="Arial" w:hAnsi="Arial" w:cs="Arial"/>
        </w:rPr>
      </w:r>
      <w:r>
        <w:rPr>
          <w:rFonts w:ascii="Arial" w:hAnsi="Arial" w:cs="Arial"/>
        </w:rPr>
      </w:r>
    </w:p>
    <w:p w14:paraId="74ECEE1B">
      <w:pPr>
        <w:pStyle w:val="885"/>
        <w:pBdr/>
        <w:spacing/>
        <w:ind/>
        <w:rPr>
          <w:rFonts w:ascii="Arial" w:hAnsi="Arial" w:cs="Arial"/>
        </w:rPr>
      </w:pPr>
      <w:r>
        <w:rPr>
          <w:rFonts w:ascii="Arial" w:hAnsi="Arial" w:eastAsia="Arial" w:cs="Arial"/>
        </w:rPr>
      </w:r>
      <w:bookmarkStart w:id="23" w:name="annex-c-full-project-level-results"/>
      <w:r>
        <w:rPr>
          <w:rFonts w:ascii="Arial" w:hAnsi="Arial" w:eastAsia="Arial" w:cs="Arial"/>
        </w:rPr>
        <w:t xml:space="preserve">Annex C: Full Project-Level Results</w:t>
      </w:r>
      <w:r>
        <w:rPr>
          <w:rFonts w:ascii="Arial" w:hAnsi="Arial" w:cs="Arial"/>
        </w:rPr>
      </w:r>
      <w:r>
        <w:rPr>
          <w:rFonts w:ascii="Arial" w:hAnsi="Arial" w:cs="Arial"/>
        </w:rPr>
      </w:r>
    </w:p>
    <w:p w14:paraId="328E045B">
      <w:pPr>
        <w:pStyle w:val="873"/>
        <w:pBdr/>
        <w:spacing/>
        <w:ind/>
        <w:rPr>
          <w:rFonts w:ascii="Arial" w:hAnsi="Arial" w:cs="Arial"/>
        </w:rPr>
      </w:pPr>
      <w:r>
        <w:rPr>
          <w:rFonts w:ascii="Arial" w:hAnsi="Arial" w:eastAsia="Arial" w:cs="Arial"/>
        </w:rPr>
        <w:t xml:space="preserve">To preserve readability in the consulta</w:t>
      </w:r>
      <w:r>
        <w:rPr>
          <w:rFonts w:ascii="Arial" w:hAnsi="Arial" w:eastAsia="Arial" w:cs="Arial"/>
        </w:rPr>
        <w:t xml:space="preserve">tion response, the full project-level results are split into three linked tables: technical inputs, modelled cost/revenue outputs, and the headline modelled residual support result. The underlying project identifiers are consistent across all three tables.</w:t>
      </w:r>
      <w:r>
        <w:rPr>
          <w:rFonts w:ascii="Arial" w:hAnsi="Arial" w:cs="Arial"/>
        </w:rPr>
      </w:r>
      <w:r>
        <w:rPr>
          <w:rFonts w:ascii="Arial" w:hAnsi="Arial" w:cs="Arial"/>
        </w:rPr>
      </w:r>
    </w:p>
    <w:p w14:paraId="7F1315F7">
      <w:pPr>
        <w:pStyle w:val="872"/>
        <w:pBdr/>
        <w:spacing/>
        <w:ind/>
        <w:rPr>
          <w:rFonts w:ascii="Arial" w:hAnsi="Arial" w:cs="Arial"/>
        </w:rPr>
      </w:pPr>
      <w:r>
        <w:rPr>
          <w:rFonts w:ascii="Arial" w:hAnsi="Arial" w:eastAsia="Arial" w:cs="Arial"/>
        </w:rPr>
        <w:t xml:space="preserve">Model inputs are derived from the Window 1 minded-to portfolio and rounded where used in the analytical pipeline. The economic outputs are model-derived and should be interpreted as scenario results rather than Ofgem floor determinations.</w:t>
      </w:r>
      <w:r>
        <w:rPr>
          <w:rFonts w:ascii="Arial" w:hAnsi="Arial" w:cs="Arial"/>
        </w:rPr>
      </w:r>
      <w:r>
        <w:rPr>
          <w:rFonts w:ascii="Arial" w:hAnsi="Arial" w:cs="Arial"/>
        </w:rPr>
      </w:r>
    </w:p>
    <w:p w14:paraId="186E6170">
      <w:pPr>
        <w:pStyle w:val="886"/>
        <w:pBdr/>
        <w:spacing/>
        <w:ind/>
        <w:rPr>
          <w:rFonts w:ascii="Arial" w:hAnsi="Arial" w:cs="Arial"/>
        </w:rPr>
      </w:pPr>
      <w:r>
        <w:rPr>
          <w:rFonts w:ascii="Arial" w:hAnsi="Arial" w:eastAsia="Arial" w:cs="Arial"/>
        </w:rPr>
      </w:r>
      <w:bookmarkStart w:id="20" w:name="c.1-portfolio-technical-inputs"/>
      <w:r>
        <w:rPr>
          <w:rFonts w:ascii="Arial" w:hAnsi="Arial" w:eastAsia="Arial" w:cs="Arial"/>
        </w:rPr>
        <w:t xml:space="preserve">C.1 Portfolio Technical Inputs</w:t>
      </w:r>
      <w:r>
        <w:rPr>
          <w:rFonts w:ascii="Arial" w:hAnsi="Arial" w:cs="Arial"/>
        </w:rPr>
      </w:r>
      <w:r>
        <w:rPr>
          <w:rFonts w:ascii="Arial" w:hAnsi="Arial" w:cs="Arial"/>
        </w:rPr>
      </w:r>
    </w:p>
    <w:tbl>
      <w:tblPr>
        <w:tblStyle w:val="906"/>
        <w:tblW w:w="5000" w:type="pct"/>
        <w:tblBorders/>
        <w:tblLayout w:type="fixed"/>
        <w:tblLook w:val="0020" w:firstRow="1" w:lastRow="0" w:firstColumn="0" w:lastColumn="0" w:noHBand="0" w:noVBand="0"/>
      </w:tblPr>
      <w:tblGrid>
        <w:gridCol w:w="990"/>
        <w:gridCol w:w="990"/>
        <w:gridCol w:w="990"/>
        <w:gridCol w:w="1320"/>
        <w:gridCol w:w="1320"/>
        <w:gridCol w:w="1320"/>
        <w:gridCol w:w="990"/>
      </w:tblGrid>
      <w:tr>
        <w:trPr>
          <w:tblHeader/>
        </w:trPr>
        <w:tc>
          <w:tcPr>
            <w:tcBorders/>
          </w:tcPr>
          <w:p w14:paraId="3B249F95">
            <w:pPr>
              <w:pStyle w:val="874"/>
              <w:pBdr/>
              <w:spacing/>
              <w:ind/>
              <w:rPr>
                <w:rFonts w:ascii="Arial" w:hAnsi="Arial" w:cs="Arial"/>
                <w:sz w:val="18"/>
                <w:szCs w:val="18"/>
              </w:rPr>
            </w:pPr>
            <w:r>
              <w:rPr>
                <w:rFonts w:ascii="Arial" w:hAnsi="Arial" w:eastAsia="Arial" w:cs="Arial"/>
                <w:sz w:val="18"/>
                <w:szCs w:val="18"/>
              </w:rPr>
              <w:t xml:space="preserve">Project</w:t>
            </w:r>
            <w:r>
              <w:rPr>
                <w:rFonts w:ascii="Arial" w:hAnsi="Arial" w:cs="Arial"/>
                <w:sz w:val="18"/>
                <w:szCs w:val="18"/>
              </w:rPr>
            </w:r>
            <w:r>
              <w:rPr>
                <w:rFonts w:ascii="Arial" w:hAnsi="Arial" w:cs="Arial"/>
                <w:sz w:val="18"/>
                <w:szCs w:val="18"/>
              </w:rPr>
            </w:r>
          </w:p>
        </w:tc>
        <w:tc>
          <w:tcPr>
            <w:tcBorders/>
          </w:tcPr>
          <w:p w14:paraId="26BC72A9">
            <w:pPr>
              <w:pStyle w:val="874"/>
              <w:pBdr/>
              <w:spacing/>
              <w:ind/>
              <w:rPr>
                <w:rFonts w:ascii="Arial" w:hAnsi="Arial" w:cs="Arial"/>
                <w:sz w:val="18"/>
                <w:szCs w:val="18"/>
              </w:rPr>
            </w:pPr>
            <w:r>
              <w:rPr>
                <w:rFonts w:ascii="Arial" w:hAnsi="Arial" w:eastAsia="Arial" w:cs="Arial"/>
                <w:sz w:val="18"/>
                <w:szCs w:val="18"/>
              </w:rPr>
              <w:t xml:space="preserve">Technology</w:t>
            </w:r>
            <w:r>
              <w:rPr>
                <w:rFonts w:ascii="Arial" w:hAnsi="Arial" w:cs="Arial"/>
                <w:sz w:val="18"/>
                <w:szCs w:val="18"/>
              </w:rPr>
            </w:r>
            <w:r>
              <w:rPr>
                <w:rFonts w:ascii="Arial" w:hAnsi="Arial" w:cs="Arial"/>
                <w:sz w:val="18"/>
                <w:szCs w:val="18"/>
              </w:rPr>
            </w:r>
          </w:p>
        </w:tc>
        <w:tc>
          <w:tcPr>
            <w:tcBorders/>
          </w:tcPr>
          <w:p w14:paraId="6C8733C1">
            <w:pPr>
              <w:pStyle w:val="874"/>
              <w:pBdr/>
              <w:spacing/>
              <w:ind/>
              <w:rPr>
                <w:rFonts w:ascii="Arial" w:hAnsi="Arial" w:cs="Arial"/>
                <w:sz w:val="18"/>
                <w:szCs w:val="18"/>
              </w:rPr>
            </w:pPr>
            <w:r>
              <w:rPr>
                <w:rFonts w:ascii="Arial" w:hAnsi="Arial" w:eastAsia="Arial" w:cs="Arial"/>
                <w:sz w:val="18"/>
                <w:szCs w:val="18"/>
              </w:rPr>
              <w:t xml:space="preserve">Region</w:t>
            </w:r>
            <w:r>
              <w:rPr>
                <w:rFonts w:ascii="Arial" w:hAnsi="Arial" w:cs="Arial"/>
                <w:sz w:val="18"/>
                <w:szCs w:val="18"/>
              </w:rPr>
            </w:r>
            <w:r>
              <w:rPr>
                <w:rFonts w:ascii="Arial" w:hAnsi="Arial" w:cs="Arial"/>
                <w:sz w:val="18"/>
                <w:szCs w:val="18"/>
              </w:rPr>
            </w:r>
          </w:p>
        </w:tc>
        <w:tc>
          <w:tcPr>
            <w:tcBorders/>
          </w:tcPr>
          <w:p w14:paraId="0CDE1B0F">
            <w:pPr>
              <w:pStyle w:val="874"/>
              <w:pBdr/>
              <w:spacing/>
              <w:ind/>
              <w:jc w:val="right"/>
              <w:rPr>
                <w:rFonts w:ascii="Arial" w:hAnsi="Arial" w:cs="Arial"/>
                <w:sz w:val="18"/>
                <w:szCs w:val="18"/>
              </w:rPr>
            </w:pPr>
            <w:r>
              <w:rPr>
                <w:rFonts w:ascii="Arial" w:hAnsi="Arial" w:eastAsia="Arial" w:cs="Arial"/>
                <w:sz w:val="18"/>
                <w:szCs w:val="18"/>
              </w:rPr>
              <w:t xml:space="preserve">MW</w:t>
            </w:r>
            <w:r>
              <w:rPr>
                <w:rFonts w:ascii="Arial" w:hAnsi="Arial" w:cs="Arial"/>
                <w:sz w:val="18"/>
                <w:szCs w:val="18"/>
              </w:rPr>
            </w:r>
            <w:r>
              <w:rPr>
                <w:rFonts w:ascii="Arial" w:hAnsi="Arial" w:cs="Arial"/>
                <w:sz w:val="18"/>
                <w:szCs w:val="18"/>
              </w:rPr>
            </w:r>
          </w:p>
        </w:tc>
        <w:tc>
          <w:tcPr>
            <w:tcBorders/>
          </w:tcPr>
          <w:p w14:paraId="59F9C6C7">
            <w:pPr>
              <w:pStyle w:val="874"/>
              <w:pBdr/>
              <w:spacing/>
              <w:ind/>
              <w:jc w:val="right"/>
              <w:rPr>
                <w:rFonts w:ascii="Arial" w:hAnsi="Arial" w:cs="Arial"/>
                <w:sz w:val="18"/>
                <w:szCs w:val="18"/>
              </w:rPr>
            </w:pPr>
            <w:r>
              <w:rPr>
                <w:rFonts w:ascii="Arial" w:hAnsi="Arial" w:eastAsia="Arial" w:cs="Arial"/>
                <w:sz w:val="18"/>
                <w:szCs w:val="18"/>
              </w:rPr>
              <w:t xml:space="preserve">MWh</w:t>
            </w:r>
            <w:r>
              <w:rPr>
                <w:rFonts w:ascii="Arial" w:hAnsi="Arial" w:cs="Arial"/>
                <w:sz w:val="18"/>
                <w:szCs w:val="18"/>
              </w:rPr>
            </w:r>
            <w:r>
              <w:rPr>
                <w:rFonts w:ascii="Arial" w:hAnsi="Arial" w:cs="Arial"/>
                <w:sz w:val="18"/>
                <w:szCs w:val="18"/>
              </w:rPr>
            </w:r>
          </w:p>
        </w:tc>
        <w:tc>
          <w:tcPr>
            <w:tcBorders/>
          </w:tcPr>
          <w:p w14:paraId="7BA312E0">
            <w:pPr>
              <w:pStyle w:val="874"/>
              <w:pBdr/>
              <w:spacing/>
              <w:ind/>
              <w:jc w:val="right"/>
              <w:rPr>
                <w:rFonts w:ascii="Arial" w:hAnsi="Arial" w:cs="Arial"/>
                <w:sz w:val="18"/>
                <w:szCs w:val="18"/>
              </w:rPr>
            </w:pPr>
            <w:r>
              <w:rPr>
                <w:rFonts w:ascii="Arial" w:hAnsi="Arial" w:eastAsia="Arial" w:cs="Arial"/>
                <w:sz w:val="18"/>
                <w:szCs w:val="18"/>
              </w:rPr>
              <w:t xml:space="preserve">Duration</w:t>
            </w:r>
            <w:r>
              <w:rPr>
                <w:rFonts w:ascii="Arial" w:hAnsi="Arial" w:cs="Arial"/>
                <w:sz w:val="18"/>
                <w:szCs w:val="18"/>
              </w:rPr>
            </w:r>
            <w:r>
              <w:rPr>
                <w:rFonts w:ascii="Arial" w:hAnsi="Arial" w:cs="Arial"/>
                <w:sz w:val="18"/>
                <w:szCs w:val="18"/>
              </w:rPr>
            </w:r>
          </w:p>
        </w:tc>
        <w:tc>
          <w:tcPr>
            <w:tcBorders/>
          </w:tcPr>
          <w:p w14:paraId="288A5FD5">
            <w:pPr>
              <w:pStyle w:val="874"/>
              <w:pBdr/>
              <w:spacing/>
              <w:ind/>
              <w:rPr>
                <w:rFonts w:ascii="Arial" w:hAnsi="Arial" w:cs="Arial"/>
                <w:sz w:val="18"/>
                <w:szCs w:val="18"/>
              </w:rPr>
            </w:pPr>
            <w:r>
              <w:rPr>
                <w:rFonts w:ascii="Arial" w:hAnsi="Arial" w:eastAsia="Arial" w:cs="Arial"/>
                <w:sz w:val="18"/>
                <w:szCs w:val="18"/>
              </w:rPr>
              <w:t xml:space="preserve">RRT</w:t>
            </w:r>
            <w:r>
              <w:rPr>
                <w:rFonts w:ascii="Arial" w:hAnsi="Arial" w:cs="Arial"/>
                <w:sz w:val="18"/>
                <w:szCs w:val="18"/>
              </w:rPr>
            </w:r>
            <w:r>
              <w:rPr>
                <w:rFonts w:ascii="Arial" w:hAnsi="Arial" w:cs="Arial"/>
                <w:sz w:val="18"/>
                <w:szCs w:val="18"/>
              </w:rPr>
            </w:r>
          </w:p>
        </w:tc>
      </w:tr>
      <w:tr>
        <w:trPr/>
        <w:tc>
          <w:tcPr>
            <w:tcBorders/>
          </w:tcPr>
          <w:p w14:paraId="3B1C6196">
            <w:pPr>
              <w:pStyle w:val="874"/>
              <w:pBdr/>
              <w:spacing/>
              <w:ind/>
              <w:rPr>
                <w:rFonts w:ascii="Arial" w:hAnsi="Arial" w:cs="Arial"/>
                <w:sz w:val="18"/>
                <w:szCs w:val="18"/>
              </w:rPr>
            </w:pPr>
            <w:r>
              <w:rPr>
                <w:rFonts w:ascii="Arial" w:hAnsi="Arial" w:eastAsia="Arial" w:cs="Arial"/>
                <w:sz w:val="18"/>
                <w:szCs w:val="18"/>
              </w:rPr>
              <w:t xml:space="preserve">TeesCAES</w:t>
            </w:r>
            <w:r>
              <w:rPr>
                <w:rFonts w:ascii="Arial" w:hAnsi="Arial" w:cs="Arial"/>
                <w:sz w:val="18"/>
                <w:szCs w:val="18"/>
              </w:rPr>
            </w:r>
            <w:r>
              <w:rPr>
                <w:rFonts w:ascii="Arial" w:hAnsi="Arial" w:cs="Arial"/>
                <w:sz w:val="18"/>
                <w:szCs w:val="18"/>
              </w:rPr>
            </w:r>
          </w:p>
        </w:tc>
        <w:tc>
          <w:tcPr>
            <w:tcBorders/>
          </w:tcPr>
          <w:p w14:paraId="6B242CCA">
            <w:pPr>
              <w:pStyle w:val="874"/>
              <w:pBdr/>
              <w:spacing/>
              <w:ind/>
              <w:rPr>
                <w:rFonts w:ascii="Arial" w:hAnsi="Arial" w:cs="Arial"/>
                <w:sz w:val="18"/>
                <w:szCs w:val="18"/>
              </w:rPr>
            </w:pPr>
            <w:r>
              <w:rPr>
                <w:rFonts w:ascii="Arial" w:hAnsi="Arial" w:eastAsia="Arial" w:cs="Arial"/>
                <w:sz w:val="18"/>
                <w:szCs w:val="18"/>
              </w:rPr>
              <w:t xml:space="preserve">CAES</w:t>
            </w:r>
            <w:r>
              <w:rPr>
                <w:rFonts w:ascii="Arial" w:hAnsi="Arial" w:cs="Arial"/>
                <w:sz w:val="18"/>
                <w:szCs w:val="18"/>
              </w:rPr>
            </w:r>
            <w:r>
              <w:rPr>
                <w:rFonts w:ascii="Arial" w:hAnsi="Arial" w:cs="Arial"/>
                <w:sz w:val="18"/>
                <w:szCs w:val="18"/>
              </w:rPr>
            </w:r>
          </w:p>
        </w:tc>
        <w:tc>
          <w:tcPr>
            <w:tcBorders/>
          </w:tcPr>
          <w:p w14:paraId="5DF27085">
            <w:pPr>
              <w:pStyle w:val="874"/>
              <w:pBdr/>
              <w:spacing/>
              <w:ind/>
              <w:rPr>
                <w:rFonts w:ascii="Arial" w:hAnsi="Arial" w:cs="Arial"/>
                <w:sz w:val="18"/>
                <w:szCs w:val="18"/>
              </w:rPr>
            </w:pPr>
            <w:r>
              <w:rPr>
                <w:rFonts w:ascii="Arial" w:hAnsi="Arial" w:eastAsia="Arial" w:cs="Arial"/>
                <w:sz w:val="18"/>
                <w:szCs w:val="18"/>
              </w:rPr>
              <w:t xml:space="preserve">North East England</w:t>
            </w:r>
            <w:r>
              <w:rPr>
                <w:rFonts w:ascii="Arial" w:hAnsi="Arial" w:cs="Arial"/>
                <w:sz w:val="18"/>
                <w:szCs w:val="18"/>
              </w:rPr>
            </w:r>
            <w:r>
              <w:rPr>
                <w:rFonts w:ascii="Arial" w:hAnsi="Arial" w:cs="Arial"/>
                <w:sz w:val="18"/>
                <w:szCs w:val="18"/>
              </w:rPr>
            </w:r>
          </w:p>
        </w:tc>
        <w:tc>
          <w:tcPr>
            <w:tcBorders/>
          </w:tcPr>
          <w:p w14:paraId="1595EBF5">
            <w:pPr>
              <w:pStyle w:val="874"/>
              <w:pBdr/>
              <w:spacing/>
              <w:ind/>
              <w:jc w:val="right"/>
              <w:rPr>
                <w:rFonts w:ascii="Arial" w:hAnsi="Arial" w:cs="Arial"/>
                <w:sz w:val="18"/>
                <w:szCs w:val="18"/>
              </w:rPr>
            </w:pPr>
            <w:r>
              <w:rPr>
                <w:rFonts w:ascii="Arial" w:hAnsi="Arial" w:eastAsia="Arial" w:cs="Arial"/>
                <w:sz w:val="18"/>
                <w:szCs w:val="18"/>
              </w:rPr>
              <w:t xml:space="preserve">50</w:t>
            </w:r>
            <w:r>
              <w:rPr>
                <w:rFonts w:ascii="Arial" w:hAnsi="Arial" w:cs="Arial"/>
                <w:sz w:val="18"/>
                <w:szCs w:val="18"/>
              </w:rPr>
            </w:r>
            <w:r>
              <w:rPr>
                <w:rFonts w:ascii="Arial" w:hAnsi="Arial" w:cs="Arial"/>
                <w:sz w:val="18"/>
                <w:szCs w:val="18"/>
              </w:rPr>
            </w:r>
          </w:p>
        </w:tc>
        <w:tc>
          <w:tcPr>
            <w:tcBorders/>
          </w:tcPr>
          <w:p w14:paraId="79DFA988">
            <w:pPr>
              <w:pStyle w:val="874"/>
              <w:pBdr/>
              <w:spacing/>
              <w:ind/>
              <w:jc w:val="right"/>
              <w:rPr>
                <w:rFonts w:ascii="Arial" w:hAnsi="Arial" w:cs="Arial"/>
                <w:sz w:val="18"/>
                <w:szCs w:val="18"/>
              </w:rPr>
            </w:pPr>
            <w:r>
              <w:rPr>
                <w:rFonts w:ascii="Arial" w:hAnsi="Arial" w:eastAsia="Arial" w:cs="Arial"/>
                <w:sz w:val="18"/>
                <w:szCs w:val="18"/>
              </w:rPr>
              <w:t xml:space="preserve">1,500</w:t>
            </w:r>
            <w:r>
              <w:rPr>
                <w:rFonts w:ascii="Arial" w:hAnsi="Arial" w:cs="Arial"/>
                <w:sz w:val="18"/>
                <w:szCs w:val="18"/>
              </w:rPr>
            </w:r>
            <w:r>
              <w:rPr>
                <w:rFonts w:ascii="Arial" w:hAnsi="Arial" w:cs="Arial"/>
                <w:sz w:val="18"/>
                <w:szCs w:val="18"/>
              </w:rPr>
            </w:r>
          </w:p>
        </w:tc>
        <w:tc>
          <w:tcPr>
            <w:tcBorders/>
          </w:tcPr>
          <w:p w14:paraId="62EBC995">
            <w:pPr>
              <w:pStyle w:val="874"/>
              <w:pBdr/>
              <w:spacing/>
              <w:ind/>
              <w:jc w:val="right"/>
              <w:rPr>
                <w:rFonts w:ascii="Arial" w:hAnsi="Arial" w:cs="Arial"/>
                <w:sz w:val="18"/>
                <w:szCs w:val="18"/>
              </w:rPr>
            </w:pPr>
            <w:r>
              <w:rPr>
                <w:rFonts w:ascii="Arial" w:hAnsi="Arial" w:eastAsia="Arial" w:cs="Arial"/>
                <w:sz w:val="18"/>
                <w:szCs w:val="18"/>
              </w:rPr>
              <w:t xml:space="preserve">30.0h</w:t>
            </w:r>
            <w:r>
              <w:rPr>
                <w:rFonts w:ascii="Arial" w:hAnsi="Arial" w:cs="Arial"/>
                <w:sz w:val="18"/>
                <w:szCs w:val="18"/>
              </w:rPr>
            </w:r>
            <w:r>
              <w:rPr>
                <w:rFonts w:ascii="Arial" w:hAnsi="Arial" w:cs="Arial"/>
                <w:sz w:val="18"/>
                <w:szCs w:val="18"/>
              </w:rPr>
            </w:r>
          </w:p>
        </w:tc>
        <w:tc>
          <w:tcPr>
            <w:tcBorders/>
          </w:tcPr>
          <w:p w14:paraId="69F7DD74">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6354DB81">
            <w:pPr>
              <w:pStyle w:val="874"/>
              <w:pBdr/>
              <w:spacing/>
              <w:ind/>
              <w:rPr>
                <w:rFonts w:ascii="Arial" w:hAnsi="Arial" w:cs="Arial"/>
                <w:sz w:val="18"/>
                <w:szCs w:val="18"/>
              </w:rPr>
            </w:pPr>
            <w:r>
              <w:rPr>
                <w:rFonts w:ascii="Arial" w:hAnsi="Arial" w:eastAsia="Arial" w:cs="Arial"/>
                <w:sz w:val="18"/>
                <w:szCs w:val="18"/>
              </w:rPr>
              <w:t xml:space="preserve">Frontier Legacy</w:t>
            </w:r>
            <w:r>
              <w:rPr>
                <w:rFonts w:ascii="Arial" w:hAnsi="Arial" w:cs="Arial"/>
                <w:sz w:val="18"/>
                <w:szCs w:val="18"/>
              </w:rPr>
            </w:r>
            <w:r>
              <w:rPr>
                <w:rFonts w:ascii="Arial" w:hAnsi="Arial" w:cs="Arial"/>
                <w:sz w:val="18"/>
                <w:szCs w:val="18"/>
              </w:rPr>
            </w:r>
          </w:p>
        </w:tc>
        <w:tc>
          <w:tcPr>
            <w:tcBorders/>
          </w:tcPr>
          <w:p w14:paraId="4D4B8279">
            <w:pPr>
              <w:pStyle w:val="874"/>
              <w:pBdr/>
              <w:spacing/>
              <w:ind/>
              <w:rPr>
                <w:rFonts w:ascii="Arial" w:hAnsi="Arial" w:cs="Arial"/>
                <w:sz w:val="18"/>
                <w:szCs w:val="18"/>
              </w:rPr>
            </w:pPr>
            <w:r>
              <w:rPr>
                <w:rFonts w:ascii="Arial" w:hAnsi="Arial" w:eastAsia="Arial" w:cs="Arial"/>
                <w:sz w:val="18"/>
                <w:szCs w:val="18"/>
              </w:rPr>
              <w:t xml:space="preserve">VFB/Zn</w:t>
            </w:r>
            <w:r>
              <w:rPr>
                <w:rFonts w:ascii="Arial" w:hAnsi="Arial" w:cs="Arial"/>
                <w:sz w:val="18"/>
                <w:szCs w:val="18"/>
              </w:rPr>
            </w:r>
            <w:r>
              <w:rPr>
                <w:rFonts w:ascii="Arial" w:hAnsi="Arial" w:cs="Arial"/>
                <w:sz w:val="18"/>
                <w:szCs w:val="18"/>
              </w:rPr>
            </w:r>
          </w:p>
        </w:tc>
        <w:tc>
          <w:tcPr>
            <w:tcBorders/>
          </w:tcPr>
          <w:p w14:paraId="115FA7C1">
            <w:pPr>
              <w:pStyle w:val="874"/>
              <w:pBdr/>
              <w:spacing/>
              <w:ind/>
              <w:rPr>
                <w:rFonts w:ascii="Arial" w:hAnsi="Arial" w:cs="Arial"/>
                <w:sz w:val="18"/>
                <w:szCs w:val="18"/>
              </w:rPr>
            </w:pPr>
            <w:r>
              <w:rPr>
                <w:rFonts w:ascii="Arial" w:hAnsi="Arial" w:eastAsia="Arial" w:cs="Arial"/>
                <w:sz w:val="18"/>
                <w:szCs w:val="18"/>
              </w:rPr>
              <w:t xml:space="preserve">North Wales</w:t>
            </w:r>
            <w:r>
              <w:rPr>
                <w:rFonts w:ascii="Arial" w:hAnsi="Arial" w:cs="Arial"/>
                <w:sz w:val="18"/>
                <w:szCs w:val="18"/>
              </w:rPr>
            </w:r>
            <w:r>
              <w:rPr>
                <w:rFonts w:ascii="Arial" w:hAnsi="Arial" w:cs="Arial"/>
                <w:sz w:val="18"/>
                <w:szCs w:val="18"/>
              </w:rPr>
            </w:r>
          </w:p>
        </w:tc>
        <w:tc>
          <w:tcPr>
            <w:tcBorders/>
          </w:tcPr>
          <w:p w14:paraId="70475D84">
            <w:pPr>
              <w:pStyle w:val="874"/>
              <w:pBdr/>
              <w:spacing/>
              <w:ind/>
              <w:jc w:val="right"/>
              <w:rPr>
                <w:rFonts w:ascii="Arial" w:hAnsi="Arial" w:cs="Arial"/>
                <w:sz w:val="18"/>
                <w:szCs w:val="18"/>
              </w:rPr>
            </w:pPr>
            <w:r>
              <w:rPr>
                <w:rFonts w:ascii="Arial" w:hAnsi="Arial" w:eastAsia="Arial" w:cs="Arial"/>
                <w:sz w:val="18"/>
                <w:szCs w:val="18"/>
              </w:rPr>
              <w:t xml:space="preserve">65</w:t>
            </w:r>
            <w:r>
              <w:rPr>
                <w:rFonts w:ascii="Arial" w:hAnsi="Arial" w:cs="Arial"/>
                <w:sz w:val="18"/>
                <w:szCs w:val="18"/>
              </w:rPr>
            </w:r>
            <w:r>
              <w:rPr>
                <w:rFonts w:ascii="Arial" w:hAnsi="Arial" w:cs="Arial"/>
                <w:sz w:val="18"/>
                <w:szCs w:val="18"/>
              </w:rPr>
            </w:r>
          </w:p>
        </w:tc>
        <w:tc>
          <w:tcPr>
            <w:tcBorders/>
          </w:tcPr>
          <w:p w14:paraId="0C11BEDD">
            <w:pPr>
              <w:pStyle w:val="874"/>
              <w:pBdr/>
              <w:spacing/>
              <w:ind/>
              <w:jc w:val="right"/>
              <w:rPr>
                <w:rFonts w:ascii="Arial" w:hAnsi="Arial" w:cs="Arial"/>
                <w:sz w:val="18"/>
                <w:szCs w:val="18"/>
              </w:rPr>
            </w:pPr>
            <w:r>
              <w:rPr>
                <w:rFonts w:ascii="Arial" w:hAnsi="Arial" w:eastAsia="Arial" w:cs="Arial"/>
                <w:sz w:val="18"/>
                <w:szCs w:val="18"/>
              </w:rPr>
              <w:t xml:space="preserve">520</w:t>
            </w:r>
            <w:r>
              <w:rPr>
                <w:rFonts w:ascii="Arial" w:hAnsi="Arial" w:cs="Arial"/>
                <w:sz w:val="18"/>
                <w:szCs w:val="18"/>
              </w:rPr>
            </w:r>
            <w:r>
              <w:rPr>
                <w:rFonts w:ascii="Arial" w:hAnsi="Arial" w:cs="Arial"/>
                <w:sz w:val="18"/>
                <w:szCs w:val="18"/>
              </w:rPr>
            </w:r>
          </w:p>
        </w:tc>
        <w:tc>
          <w:tcPr>
            <w:tcBorders/>
          </w:tcPr>
          <w:p w14:paraId="7926362B">
            <w:pPr>
              <w:pStyle w:val="874"/>
              <w:pBdr/>
              <w:spacing/>
              <w:ind/>
              <w:jc w:val="right"/>
              <w:rPr>
                <w:rFonts w:ascii="Arial" w:hAnsi="Arial" w:cs="Arial"/>
                <w:sz w:val="18"/>
                <w:szCs w:val="18"/>
              </w:rPr>
            </w:pPr>
            <w:r>
              <w:rPr>
                <w:rFonts w:ascii="Arial" w:hAnsi="Arial" w:eastAsia="Arial" w:cs="Arial"/>
                <w:sz w:val="18"/>
                <w:szCs w:val="18"/>
              </w:rPr>
              <w:t xml:space="preserve">8.0h</w:t>
            </w:r>
            <w:r>
              <w:rPr>
                <w:rFonts w:ascii="Arial" w:hAnsi="Arial" w:cs="Arial"/>
                <w:sz w:val="18"/>
                <w:szCs w:val="18"/>
              </w:rPr>
            </w:r>
            <w:r>
              <w:rPr>
                <w:rFonts w:ascii="Arial" w:hAnsi="Arial" w:cs="Arial"/>
                <w:sz w:val="18"/>
                <w:szCs w:val="18"/>
              </w:rPr>
            </w:r>
          </w:p>
        </w:tc>
        <w:tc>
          <w:tcPr>
            <w:tcBorders/>
          </w:tcPr>
          <w:p w14:paraId="0A4BC03D">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4B1C4DDA">
            <w:pPr>
              <w:pStyle w:val="874"/>
              <w:pBdr/>
              <w:spacing/>
              <w:ind/>
              <w:rPr>
                <w:rFonts w:ascii="Arial" w:hAnsi="Arial" w:cs="Arial"/>
                <w:sz w:val="18"/>
                <w:szCs w:val="18"/>
              </w:rPr>
            </w:pPr>
            <w:r>
              <w:rPr>
                <w:rFonts w:ascii="Arial" w:hAnsi="Arial" w:eastAsia="Arial" w:cs="Arial"/>
                <w:sz w:val="18"/>
                <w:szCs w:val="18"/>
              </w:rPr>
              <w:t xml:space="preserve">Ocker Hill BESS</w:t>
            </w:r>
            <w:r>
              <w:rPr>
                <w:rFonts w:ascii="Arial" w:hAnsi="Arial" w:cs="Arial"/>
                <w:sz w:val="18"/>
                <w:szCs w:val="18"/>
              </w:rPr>
            </w:r>
            <w:r>
              <w:rPr>
                <w:rFonts w:ascii="Arial" w:hAnsi="Arial" w:cs="Arial"/>
                <w:sz w:val="18"/>
                <w:szCs w:val="18"/>
              </w:rPr>
            </w:r>
          </w:p>
        </w:tc>
        <w:tc>
          <w:tcPr>
            <w:tcBorders/>
          </w:tcPr>
          <w:p w14:paraId="19EEB159">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0CB02551">
            <w:pPr>
              <w:pStyle w:val="874"/>
              <w:pBdr/>
              <w:spacing/>
              <w:ind/>
              <w:rPr>
                <w:rFonts w:ascii="Arial" w:hAnsi="Arial" w:cs="Arial"/>
                <w:sz w:val="18"/>
                <w:szCs w:val="18"/>
              </w:rPr>
            </w:pPr>
            <w:r>
              <w:rPr>
                <w:rFonts w:ascii="Arial" w:hAnsi="Arial" w:eastAsia="Arial" w:cs="Arial"/>
                <w:sz w:val="18"/>
                <w:szCs w:val="18"/>
              </w:rPr>
              <w:t xml:space="preserve">West Midlands</w:t>
            </w:r>
            <w:r>
              <w:rPr>
                <w:rFonts w:ascii="Arial" w:hAnsi="Arial" w:cs="Arial"/>
                <w:sz w:val="18"/>
                <w:szCs w:val="18"/>
              </w:rPr>
            </w:r>
            <w:r>
              <w:rPr>
                <w:rFonts w:ascii="Arial" w:hAnsi="Arial" w:cs="Arial"/>
                <w:sz w:val="18"/>
                <w:szCs w:val="18"/>
              </w:rPr>
            </w:r>
          </w:p>
        </w:tc>
        <w:tc>
          <w:tcPr>
            <w:tcBorders/>
          </w:tcPr>
          <w:p w14:paraId="143AD4C8">
            <w:pPr>
              <w:pStyle w:val="874"/>
              <w:pBdr/>
              <w:spacing/>
              <w:ind/>
              <w:jc w:val="right"/>
              <w:rPr>
                <w:rFonts w:ascii="Arial" w:hAnsi="Arial" w:cs="Arial"/>
                <w:sz w:val="18"/>
                <w:szCs w:val="18"/>
              </w:rPr>
            </w:pPr>
            <w:r>
              <w:rPr>
                <w:rFonts w:ascii="Arial" w:hAnsi="Arial" w:eastAsia="Arial" w:cs="Arial"/>
                <w:sz w:val="18"/>
                <w:szCs w:val="18"/>
              </w:rPr>
              <w:t xml:space="preserve">145</w:t>
            </w:r>
            <w:r>
              <w:rPr>
                <w:rFonts w:ascii="Arial" w:hAnsi="Arial" w:cs="Arial"/>
                <w:sz w:val="18"/>
                <w:szCs w:val="18"/>
              </w:rPr>
            </w:r>
            <w:r>
              <w:rPr>
                <w:rFonts w:ascii="Arial" w:hAnsi="Arial" w:cs="Arial"/>
                <w:sz w:val="18"/>
                <w:szCs w:val="18"/>
              </w:rPr>
            </w:r>
          </w:p>
        </w:tc>
        <w:tc>
          <w:tcPr>
            <w:tcBorders/>
          </w:tcPr>
          <w:p w14:paraId="3CE261B2">
            <w:pPr>
              <w:pStyle w:val="874"/>
              <w:pBdr/>
              <w:spacing/>
              <w:ind/>
              <w:jc w:val="right"/>
              <w:rPr>
                <w:rFonts w:ascii="Arial" w:hAnsi="Arial" w:cs="Arial"/>
                <w:sz w:val="18"/>
                <w:szCs w:val="18"/>
              </w:rPr>
            </w:pPr>
            <w:r>
              <w:rPr>
                <w:rFonts w:ascii="Arial" w:hAnsi="Arial" w:eastAsia="Arial" w:cs="Arial"/>
                <w:sz w:val="18"/>
                <w:szCs w:val="18"/>
              </w:rPr>
              <w:t xml:space="preserve">1,160</w:t>
            </w:r>
            <w:r>
              <w:rPr>
                <w:rFonts w:ascii="Arial" w:hAnsi="Arial" w:cs="Arial"/>
                <w:sz w:val="18"/>
                <w:szCs w:val="18"/>
              </w:rPr>
            </w:r>
            <w:r>
              <w:rPr>
                <w:rFonts w:ascii="Arial" w:hAnsi="Arial" w:cs="Arial"/>
                <w:sz w:val="18"/>
                <w:szCs w:val="18"/>
              </w:rPr>
            </w:r>
          </w:p>
        </w:tc>
        <w:tc>
          <w:tcPr>
            <w:tcBorders/>
          </w:tcPr>
          <w:p w14:paraId="6F796FB0">
            <w:pPr>
              <w:pStyle w:val="874"/>
              <w:pBdr/>
              <w:spacing/>
              <w:ind/>
              <w:jc w:val="right"/>
              <w:rPr>
                <w:rFonts w:ascii="Arial" w:hAnsi="Arial" w:cs="Arial"/>
                <w:sz w:val="18"/>
                <w:szCs w:val="18"/>
              </w:rPr>
            </w:pPr>
            <w:r>
              <w:rPr>
                <w:rFonts w:ascii="Arial" w:hAnsi="Arial" w:eastAsia="Arial" w:cs="Arial"/>
                <w:sz w:val="18"/>
                <w:szCs w:val="18"/>
              </w:rPr>
              <w:t xml:space="preserve">8.0h</w:t>
            </w:r>
            <w:r>
              <w:rPr>
                <w:rFonts w:ascii="Arial" w:hAnsi="Arial" w:cs="Arial"/>
                <w:sz w:val="18"/>
                <w:szCs w:val="18"/>
              </w:rPr>
            </w:r>
            <w:r>
              <w:rPr>
                <w:rFonts w:ascii="Arial" w:hAnsi="Arial" w:cs="Arial"/>
                <w:sz w:val="18"/>
                <w:szCs w:val="18"/>
              </w:rPr>
            </w:r>
          </w:p>
        </w:tc>
        <w:tc>
          <w:tcPr>
            <w:tcBorders/>
          </w:tcPr>
          <w:p w14:paraId="5C70A170">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2BCCDB6C">
            <w:pPr>
              <w:pStyle w:val="874"/>
              <w:pBdr/>
              <w:spacing/>
              <w:ind/>
              <w:rPr>
                <w:rFonts w:ascii="Arial" w:hAnsi="Arial" w:cs="Arial"/>
                <w:sz w:val="18"/>
                <w:szCs w:val="18"/>
              </w:rPr>
            </w:pPr>
            <w:r>
              <w:rPr>
                <w:rFonts w:ascii="Arial" w:hAnsi="Arial" w:eastAsia="Arial" w:cs="Arial"/>
                <w:sz w:val="18"/>
                <w:szCs w:val="18"/>
              </w:rPr>
              <w:t xml:space="preserve">Sundon Storage</w:t>
            </w:r>
            <w:r>
              <w:rPr>
                <w:rFonts w:ascii="Arial" w:hAnsi="Arial" w:cs="Arial"/>
                <w:sz w:val="18"/>
                <w:szCs w:val="18"/>
              </w:rPr>
            </w:r>
            <w:r>
              <w:rPr>
                <w:rFonts w:ascii="Arial" w:hAnsi="Arial" w:cs="Arial"/>
                <w:sz w:val="18"/>
                <w:szCs w:val="18"/>
              </w:rPr>
            </w:r>
          </w:p>
        </w:tc>
        <w:tc>
          <w:tcPr>
            <w:tcBorders/>
          </w:tcPr>
          <w:p w14:paraId="665A16BF">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26BFFE4D">
            <w:pPr>
              <w:pStyle w:val="874"/>
              <w:pBdr/>
              <w:spacing/>
              <w:ind/>
              <w:rPr>
                <w:rFonts w:ascii="Arial" w:hAnsi="Arial" w:cs="Arial"/>
                <w:sz w:val="18"/>
                <w:szCs w:val="18"/>
              </w:rPr>
            </w:pPr>
            <w:r>
              <w:rPr>
                <w:rFonts w:ascii="Arial" w:hAnsi="Arial" w:eastAsia="Arial" w:cs="Arial"/>
                <w:sz w:val="18"/>
                <w:szCs w:val="18"/>
              </w:rPr>
              <w:t xml:space="preserve">East England</w:t>
            </w:r>
            <w:r>
              <w:rPr>
                <w:rFonts w:ascii="Arial" w:hAnsi="Arial" w:cs="Arial"/>
                <w:sz w:val="18"/>
                <w:szCs w:val="18"/>
              </w:rPr>
            </w:r>
            <w:r>
              <w:rPr>
                <w:rFonts w:ascii="Arial" w:hAnsi="Arial" w:cs="Arial"/>
                <w:sz w:val="18"/>
                <w:szCs w:val="18"/>
              </w:rPr>
            </w:r>
          </w:p>
        </w:tc>
        <w:tc>
          <w:tcPr>
            <w:tcBorders/>
          </w:tcPr>
          <w:p w14:paraId="557A0979">
            <w:pPr>
              <w:pStyle w:val="874"/>
              <w:pBdr/>
              <w:spacing/>
              <w:ind/>
              <w:jc w:val="right"/>
              <w:rPr>
                <w:rFonts w:ascii="Arial" w:hAnsi="Arial" w:cs="Arial"/>
                <w:sz w:val="18"/>
                <w:szCs w:val="18"/>
              </w:rPr>
            </w:pPr>
            <w:r>
              <w:rPr>
                <w:rFonts w:ascii="Arial" w:hAnsi="Arial" w:eastAsia="Arial" w:cs="Arial"/>
                <w:sz w:val="18"/>
                <w:szCs w:val="18"/>
              </w:rPr>
              <w:t xml:space="preserve">500</w:t>
            </w:r>
            <w:r>
              <w:rPr>
                <w:rFonts w:ascii="Arial" w:hAnsi="Arial" w:cs="Arial"/>
                <w:sz w:val="18"/>
                <w:szCs w:val="18"/>
              </w:rPr>
            </w:r>
            <w:r>
              <w:rPr>
                <w:rFonts w:ascii="Arial" w:hAnsi="Arial" w:cs="Arial"/>
                <w:sz w:val="18"/>
                <w:szCs w:val="18"/>
              </w:rPr>
            </w:r>
          </w:p>
        </w:tc>
        <w:tc>
          <w:tcPr>
            <w:tcBorders/>
          </w:tcPr>
          <w:p w14:paraId="249B2365">
            <w:pPr>
              <w:pStyle w:val="874"/>
              <w:pBdr/>
              <w:spacing/>
              <w:ind/>
              <w:jc w:val="right"/>
              <w:rPr>
                <w:rFonts w:ascii="Arial" w:hAnsi="Arial" w:cs="Arial"/>
                <w:sz w:val="18"/>
                <w:szCs w:val="18"/>
              </w:rPr>
            </w:pPr>
            <w:r>
              <w:rPr>
                <w:rFonts w:ascii="Arial" w:hAnsi="Arial" w:eastAsia="Arial" w:cs="Arial"/>
                <w:sz w:val="18"/>
                <w:szCs w:val="18"/>
              </w:rPr>
              <w:t xml:space="preserve">4,000</w:t>
            </w:r>
            <w:r>
              <w:rPr>
                <w:rFonts w:ascii="Arial" w:hAnsi="Arial" w:cs="Arial"/>
                <w:sz w:val="18"/>
                <w:szCs w:val="18"/>
              </w:rPr>
            </w:r>
            <w:r>
              <w:rPr>
                <w:rFonts w:ascii="Arial" w:hAnsi="Arial" w:cs="Arial"/>
                <w:sz w:val="18"/>
                <w:szCs w:val="18"/>
              </w:rPr>
            </w:r>
          </w:p>
        </w:tc>
        <w:tc>
          <w:tcPr>
            <w:tcBorders/>
          </w:tcPr>
          <w:p w14:paraId="1C4A4B3C">
            <w:pPr>
              <w:pStyle w:val="874"/>
              <w:pBdr/>
              <w:spacing/>
              <w:ind/>
              <w:jc w:val="right"/>
              <w:rPr>
                <w:rFonts w:ascii="Arial" w:hAnsi="Arial" w:cs="Arial"/>
                <w:sz w:val="18"/>
                <w:szCs w:val="18"/>
              </w:rPr>
            </w:pPr>
            <w:r>
              <w:rPr>
                <w:rFonts w:ascii="Arial" w:hAnsi="Arial" w:eastAsia="Arial" w:cs="Arial"/>
                <w:sz w:val="18"/>
                <w:szCs w:val="18"/>
              </w:rPr>
              <w:t xml:space="preserve">8.0h</w:t>
            </w:r>
            <w:r>
              <w:rPr>
                <w:rFonts w:ascii="Arial" w:hAnsi="Arial" w:cs="Arial"/>
                <w:sz w:val="18"/>
                <w:szCs w:val="18"/>
              </w:rPr>
            </w:r>
            <w:r>
              <w:rPr>
                <w:rFonts w:ascii="Arial" w:hAnsi="Arial" w:cs="Arial"/>
                <w:sz w:val="18"/>
                <w:szCs w:val="18"/>
              </w:rPr>
            </w:r>
          </w:p>
        </w:tc>
        <w:tc>
          <w:tcPr>
            <w:tcBorders/>
          </w:tcPr>
          <w:p w14:paraId="16241FA4">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7F46DC92">
            <w:pPr>
              <w:pStyle w:val="874"/>
              <w:pBdr/>
              <w:spacing/>
              <w:ind/>
              <w:rPr>
                <w:rFonts w:ascii="Arial" w:hAnsi="Arial" w:cs="Arial"/>
                <w:sz w:val="18"/>
                <w:szCs w:val="18"/>
              </w:rPr>
            </w:pPr>
            <w:r>
              <w:rPr>
                <w:rFonts w:ascii="Arial" w:hAnsi="Arial" w:eastAsia="Arial" w:cs="Arial"/>
                <w:sz w:val="18"/>
                <w:szCs w:val="18"/>
              </w:rPr>
              <w:t xml:space="preserve">Drakelow (Innova)</w:t>
            </w:r>
            <w:r>
              <w:rPr>
                <w:rFonts w:ascii="Arial" w:hAnsi="Arial" w:cs="Arial"/>
                <w:sz w:val="18"/>
                <w:szCs w:val="18"/>
              </w:rPr>
            </w:r>
            <w:r>
              <w:rPr>
                <w:rFonts w:ascii="Arial" w:hAnsi="Arial" w:cs="Arial"/>
                <w:sz w:val="18"/>
                <w:szCs w:val="18"/>
              </w:rPr>
            </w:r>
          </w:p>
        </w:tc>
        <w:tc>
          <w:tcPr>
            <w:tcBorders/>
          </w:tcPr>
          <w:p w14:paraId="7DD8E54E">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7AA4D3E4">
            <w:pPr>
              <w:pStyle w:val="874"/>
              <w:pBdr/>
              <w:spacing/>
              <w:ind/>
              <w:rPr>
                <w:rFonts w:ascii="Arial" w:hAnsi="Arial" w:cs="Arial"/>
                <w:sz w:val="18"/>
                <w:szCs w:val="18"/>
              </w:rPr>
            </w:pPr>
            <w:r>
              <w:rPr>
                <w:rFonts w:ascii="Arial" w:hAnsi="Arial" w:eastAsia="Arial" w:cs="Arial"/>
                <w:sz w:val="18"/>
                <w:szCs w:val="18"/>
              </w:rPr>
              <w:t xml:space="preserve">West Midlands</w:t>
            </w:r>
            <w:r>
              <w:rPr>
                <w:rFonts w:ascii="Arial" w:hAnsi="Arial" w:cs="Arial"/>
                <w:sz w:val="18"/>
                <w:szCs w:val="18"/>
              </w:rPr>
            </w:r>
            <w:r>
              <w:rPr>
                <w:rFonts w:ascii="Arial" w:hAnsi="Arial" w:cs="Arial"/>
                <w:sz w:val="18"/>
                <w:szCs w:val="18"/>
              </w:rPr>
            </w:r>
          </w:p>
        </w:tc>
        <w:tc>
          <w:tcPr>
            <w:tcBorders/>
          </w:tcPr>
          <w:p w14:paraId="4A74FA93">
            <w:pPr>
              <w:pStyle w:val="874"/>
              <w:pBdr/>
              <w:spacing/>
              <w:ind/>
              <w:jc w:val="right"/>
              <w:rPr>
                <w:rFonts w:ascii="Arial" w:hAnsi="Arial" w:cs="Arial"/>
                <w:sz w:val="18"/>
                <w:szCs w:val="18"/>
              </w:rPr>
            </w:pPr>
            <w:r>
              <w:rPr>
                <w:rFonts w:ascii="Arial" w:hAnsi="Arial" w:eastAsia="Arial" w:cs="Arial"/>
                <w:sz w:val="18"/>
                <w:szCs w:val="18"/>
              </w:rPr>
              <w:t xml:space="preserve">385</w:t>
            </w:r>
            <w:r>
              <w:rPr>
                <w:rFonts w:ascii="Arial" w:hAnsi="Arial" w:cs="Arial"/>
                <w:sz w:val="18"/>
                <w:szCs w:val="18"/>
              </w:rPr>
            </w:r>
            <w:r>
              <w:rPr>
                <w:rFonts w:ascii="Arial" w:hAnsi="Arial" w:cs="Arial"/>
                <w:sz w:val="18"/>
                <w:szCs w:val="18"/>
              </w:rPr>
            </w:r>
          </w:p>
        </w:tc>
        <w:tc>
          <w:tcPr>
            <w:tcBorders/>
          </w:tcPr>
          <w:p w14:paraId="7971CDFC">
            <w:pPr>
              <w:pStyle w:val="874"/>
              <w:pBdr/>
              <w:spacing/>
              <w:ind/>
              <w:jc w:val="right"/>
              <w:rPr>
                <w:rFonts w:ascii="Arial" w:hAnsi="Arial" w:cs="Arial"/>
                <w:sz w:val="18"/>
                <w:szCs w:val="18"/>
              </w:rPr>
            </w:pPr>
            <w:r>
              <w:rPr>
                <w:rFonts w:ascii="Arial" w:hAnsi="Arial" w:eastAsia="Arial" w:cs="Arial"/>
                <w:sz w:val="18"/>
                <w:szCs w:val="18"/>
              </w:rPr>
              <w:t xml:space="preserve">3,350</w:t>
            </w:r>
            <w:r>
              <w:rPr>
                <w:rFonts w:ascii="Arial" w:hAnsi="Arial" w:cs="Arial"/>
                <w:sz w:val="18"/>
                <w:szCs w:val="18"/>
              </w:rPr>
            </w:r>
            <w:r>
              <w:rPr>
                <w:rFonts w:ascii="Arial" w:hAnsi="Arial" w:cs="Arial"/>
                <w:sz w:val="18"/>
                <w:szCs w:val="18"/>
              </w:rPr>
            </w:r>
          </w:p>
        </w:tc>
        <w:tc>
          <w:tcPr>
            <w:tcBorders/>
          </w:tcPr>
          <w:p w14:paraId="7B928894">
            <w:pPr>
              <w:pStyle w:val="874"/>
              <w:pBdr/>
              <w:spacing/>
              <w:ind/>
              <w:jc w:val="right"/>
              <w:rPr>
                <w:rFonts w:ascii="Arial" w:hAnsi="Arial" w:cs="Arial"/>
                <w:sz w:val="18"/>
                <w:szCs w:val="18"/>
              </w:rPr>
            </w:pPr>
            <w:r>
              <w:rPr>
                <w:rFonts w:ascii="Arial" w:hAnsi="Arial" w:eastAsia="Arial" w:cs="Arial"/>
                <w:sz w:val="18"/>
                <w:szCs w:val="18"/>
              </w:rPr>
              <w:t xml:space="preserve">8.7h</w:t>
            </w:r>
            <w:r>
              <w:rPr>
                <w:rFonts w:ascii="Arial" w:hAnsi="Arial" w:cs="Arial"/>
                <w:sz w:val="18"/>
                <w:szCs w:val="18"/>
              </w:rPr>
            </w:r>
            <w:r>
              <w:rPr>
                <w:rFonts w:ascii="Arial" w:hAnsi="Arial" w:cs="Arial"/>
                <w:sz w:val="18"/>
                <w:szCs w:val="18"/>
              </w:rPr>
            </w:r>
          </w:p>
        </w:tc>
        <w:tc>
          <w:tcPr>
            <w:tcBorders/>
          </w:tcPr>
          <w:p w14:paraId="2F275A23">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5F92553E">
            <w:pPr>
              <w:pStyle w:val="874"/>
              <w:pBdr/>
              <w:spacing/>
              <w:ind/>
              <w:rPr>
                <w:rFonts w:ascii="Arial" w:hAnsi="Arial" w:cs="Arial"/>
                <w:sz w:val="18"/>
                <w:szCs w:val="18"/>
              </w:rPr>
            </w:pPr>
            <w:r>
              <w:rPr>
                <w:rFonts w:ascii="Arial" w:hAnsi="Arial" w:eastAsia="Arial" w:cs="Arial"/>
                <w:sz w:val="18"/>
                <w:szCs w:val="18"/>
              </w:rPr>
              <w:t xml:space="preserve">Springwell</w:t>
            </w:r>
            <w:r>
              <w:rPr>
                <w:rFonts w:ascii="Arial" w:hAnsi="Arial" w:cs="Arial"/>
                <w:sz w:val="18"/>
                <w:szCs w:val="18"/>
              </w:rPr>
            </w:r>
            <w:r>
              <w:rPr>
                <w:rFonts w:ascii="Arial" w:hAnsi="Arial" w:cs="Arial"/>
                <w:sz w:val="18"/>
                <w:szCs w:val="18"/>
              </w:rPr>
            </w:r>
          </w:p>
        </w:tc>
        <w:tc>
          <w:tcPr>
            <w:tcBorders/>
          </w:tcPr>
          <w:p w14:paraId="13521279">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2567F037">
            <w:pPr>
              <w:pStyle w:val="874"/>
              <w:pBdr/>
              <w:spacing/>
              <w:ind/>
              <w:rPr>
                <w:rFonts w:ascii="Arial" w:hAnsi="Arial" w:cs="Arial"/>
                <w:sz w:val="18"/>
                <w:szCs w:val="18"/>
              </w:rPr>
            </w:pPr>
            <w:r>
              <w:rPr>
                <w:rFonts w:ascii="Arial" w:hAnsi="Arial" w:eastAsia="Arial" w:cs="Arial"/>
                <w:sz w:val="18"/>
                <w:szCs w:val="18"/>
              </w:rPr>
              <w:t xml:space="preserve">East Midlands</w:t>
            </w:r>
            <w:r>
              <w:rPr>
                <w:rFonts w:ascii="Arial" w:hAnsi="Arial" w:cs="Arial"/>
                <w:sz w:val="18"/>
                <w:szCs w:val="18"/>
              </w:rPr>
            </w:r>
            <w:r>
              <w:rPr>
                <w:rFonts w:ascii="Arial" w:hAnsi="Arial" w:cs="Arial"/>
                <w:sz w:val="18"/>
                <w:szCs w:val="18"/>
              </w:rPr>
            </w:r>
          </w:p>
        </w:tc>
        <w:tc>
          <w:tcPr>
            <w:tcBorders/>
          </w:tcPr>
          <w:p w14:paraId="3C0E8272">
            <w:pPr>
              <w:pStyle w:val="874"/>
              <w:pBdr/>
              <w:spacing/>
              <w:ind/>
              <w:jc w:val="right"/>
              <w:rPr>
                <w:rFonts w:ascii="Arial" w:hAnsi="Arial" w:cs="Arial"/>
                <w:sz w:val="18"/>
                <w:szCs w:val="18"/>
              </w:rPr>
            </w:pPr>
            <w:r>
              <w:rPr>
                <w:rFonts w:ascii="Arial" w:hAnsi="Arial" w:eastAsia="Arial" w:cs="Arial"/>
                <w:sz w:val="18"/>
                <w:szCs w:val="18"/>
              </w:rPr>
              <w:t xml:space="preserve">400</w:t>
            </w:r>
            <w:r>
              <w:rPr>
                <w:rFonts w:ascii="Arial" w:hAnsi="Arial" w:cs="Arial"/>
                <w:sz w:val="18"/>
                <w:szCs w:val="18"/>
              </w:rPr>
            </w:r>
            <w:r>
              <w:rPr>
                <w:rFonts w:ascii="Arial" w:hAnsi="Arial" w:cs="Arial"/>
                <w:sz w:val="18"/>
                <w:szCs w:val="18"/>
              </w:rPr>
            </w:r>
          </w:p>
        </w:tc>
        <w:tc>
          <w:tcPr>
            <w:tcBorders/>
          </w:tcPr>
          <w:p w14:paraId="3AAB232E">
            <w:pPr>
              <w:pStyle w:val="874"/>
              <w:pBdr/>
              <w:spacing/>
              <w:ind/>
              <w:jc w:val="right"/>
              <w:rPr>
                <w:rFonts w:ascii="Arial" w:hAnsi="Arial" w:cs="Arial"/>
                <w:sz w:val="18"/>
                <w:szCs w:val="18"/>
              </w:rPr>
            </w:pPr>
            <w:r>
              <w:rPr>
                <w:rFonts w:ascii="Arial" w:hAnsi="Arial" w:eastAsia="Arial" w:cs="Arial"/>
                <w:sz w:val="18"/>
                <w:szCs w:val="18"/>
              </w:rPr>
              <w:t xml:space="preserve">4,440</w:t>
            </w:r>
            <w:r>
              <w:rPr>
                <w:rFonts w:ascii="Arial" w:hAnsi="Arial" w:cs="Arial"/>
                <w:sz w:val="18"/>
                <w:szCs w:val="18"/>
              </w:rPr>
            </w:r>
            <w:r>
              <w:rPr>
                <w:rFonts w:ascii="Arial" w:hAnsi="Arial" w:cs="Arial"/>
                <w:sz w:val="18"/>
                <w:szCs w:val="18"/>
              </w:rPr>
            </w:r>
          </w:p>
        </w:tc>
        <w:tc>
          <w:tcPr>
            <w:tcBorders/>
          </w:tcPr>
          <w:p w14:paraId="41D294CF">
            <w:pPr>
              <w:pStyle w:val="874"/>
              <w:pBdr/>
              <w:spacing/>
              <w:ind/>
              <w:jc w:val="right"/>
              <w:rPr>
                <w:rFonts w:ascii="Arial" w:hAnsi="Arial" w:cs="Arial"/>
                <w:sz w:val="18"/>
                <w:szCs w:val="18"/>
              </w:rPr>
            </w:pPr>
            <w:r>
              <w:rPr>
                <w:rFonts w:ascii="Arial" w:hAnsi="Arial" w:eastAsia="Arial" w:cs="Arial"/>
                <w:sz w:val="18"/>
                <w:szCs w:val="18"/>
              </w:rPr>
              <w:t xml:space="preserve">11.1h</w:t>
            </w:r>
            <w:r>
              <w:rPr>
                <w:rFonts w:ascii="Arial" w:hAnsi="Arial" w:cs="Arial"/>
                <w:sz w:val="18"/>
                <w:szCs w:val="18"/>
              </w:rPr>
            </w:r>
            <w:r>
              <w:rPr>
                <w:rFonts w:ascii="Arial" w:hAnsi="Arial" w:cs="Arial"/>
                <w:sz w:val="18"/>
                <w:szCs w:val="18"/>
              </w:rPr>
            </w:r>
          </w:p>
        </w:tc>
        <w:tc>
          <w:tcPr>
            <w:tcBorders/>
          </w:tcPr>
          <w:p w14:paraId="2B45ACEF">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2D3804CC">
            <w:pPr>
              <w:pStyle w:val="874"/>
              <w:pBdr/>
              <w:spacing/>
              <w:ind/>
              <w:rPr>
                <w:rFonts w:ascii="Arial" w:hAnsi="Arial" w:cs="Arial"/>
                <w:sz w:val="18"/>
                <w:szCs w:val="18"/>
              </w:rPr>
            </w:pPr>
            <w:r>
              <w:rPr>
                <w:rFonts w:ascii="Arial" w:hAnsi="Arial" w:eastAsia="Arial" w:cs="Arial"/>
                <w:sz w:val="18"/>
                <w:szCs w:val="18"/>
              </w:rPr>
              <w:t xml:space="preserve">Thornton BESS 2</w:t>
            </w:r>
            <w:r>
              <w:rPr>
                <w:rFonts w:ascii="Arial" w:hAnsi="Arial" w:cs="Arial"/>
                <w:sz w:val="18"/>
                <w:szCs w:val="18"/>
              </w:rPr>
            </w:r>
            <w:r>
              <w:rPr>
                <w:rFonts w:ascii="Arial" w:hAnsi="Arial" w:cs="Arial"/>
                <w:sz w:val="18"/>
                <w:szCs w:val="18"/>
              </w:rPr>
            </w:r>
          </w:p>
        </w:tc>
        <w:tc>
          <w:tcPr>
            <w:tcBorders/>
          </w:tcPr>
          <w:p w14:paraId="6AF386B6">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2E57BA2E">
            <w:pPr>
              <w:pStyle w:val="874"/>
              <w:pBdr/>
              <w:spacing/>
              <w:ind/>
              <w:rPr>
                <w:rFonts w:ascii="Arial" w:hAnsi="Arial" w:cs="Arial"/>
                <w:sz w:val="18"/>
                <w:szCs w:val="18"/>
              </w:rPr>
            </w:pPr>
            <w:r>
              <w:rPr>
                <w:rFonts w:ascii="Arial" w:hAnsi="Arial" w:eastAsia="Arial" w:cs="Arial"/>
                <w:sz w:val="18"/>
                <w:szCs w:val="18"/>
              </w:rPr>
              <w:t xml:space="preserve">East Midlands</w:t>
            </w:r>
            <w:r>
              <w:rPr>
                <w:rFonts w:ascii="Arial" w:hAnsi="Arial" w:cs="Arial"/>
                <w:sz w:val="18"/>
                <w:szCs w:val="18"/>
              </w:rPr>
            </w:r>
            <w:r>
              <w:rPr>
                <w:rFonts w:ascii="Arial" w:hAnsi="Arial" w:cs="Arial"/>
                <w:sz w:val="18"/>
                <w:szCs w:val="18"/>
              </w:rPr>
            </w:r>
          </w:p>
        </w:tc>
        <w:tc>
          <w:tcPr>
            <w:tcBorders/>
          </w:tcPr>
          <w:p w14:paraId="0D02BE13">
            <w:pPr>
              <w:pStyle w:val="874"/>
              <w:pBdr/>
              <w:spacing/>
              <w:ind/>
              <w:jc w:val="right"/>
              <w:rPr>
                <w:rFonts w:ascii="Arial" w:hAnsi="Arial" w:cs="Arial"/>
                <w:sz w:val="18"/>
                <w:szCs w:val="18"/>
              </w:rPr>
            </w:pPr>
            <w:r>
              <w:rPr>
                <w:rFonts w:ascii="Arial" w:hAnsi="Arial" w:eastAsia="Arial" w:cs="Arial"/>
                <w:sz w:val="18"/>
                <w:szCs w:val="18"/>
              </w:rPr>
              <w:t xml:space="preserve">100</w:t>
            </w:r>
            <w:r>
              <w:rPr>
                <w:rFonts w:ascii="Arial" w:hAnsi="Arial" w:cs="Arial"/>
                <w:sz w:val="18"/>
                <w:szCs w:val="18"/>
              </w:rPr>
            </w:r>
            <w:r>
              <w:rPr>
                <w:rFonts w:ascii="Arial" w:hAnsi="Arial" w:cs="Arial"/>
                <w:sz w:val="18"/>
                <w:szCs w:val="18"/>
              </w:rPr>
            </w:r>
          </w:p>
        </w:tc>
        <w:tc>
          <w:tcPr>
            <w:tcBorders/>
          </w:tcPr>
          <w:p w14:paraId="7E86051E">
            <w:pPr>
              <w:pStyle w:val="874"/>
              <w:pBdr/>
              <w:spacing/>
              <w:ind/>
              <w:jc w:val="right"/>
              <w:rPr>
                <w:rFonts w:ascii="Arial" w:hAnsi="Arial" w:cs="Arial"/>
                <w:sz w:val="18"/>
                <w:szCs w:val="18"/>
              </w:rPr>
            </w:pPr>
            <w:r>
              <w:rPr>
                <w:rFonts w:ascii="Arial" w:hAnsi="Arial" w:eastAsia="Arial" w:cs="Arial"/>
                <w:sz w:val="18"/>
                <w:szCs w:val="18"/>
              </w:rPr>
              <w:t xml:space="preserve">1,110</w:t>
            </w:r>
            <w:r>
              <w:rPr>
                <w:rFonts w:ascii="Arial" w:hAnsi="Arial" w:cs="Arial"/>
                <w:sz w:val="18"/>
                <w:szCs w:val="18"/>
              </w:rPr>
            </w:r>
            <w:r>
              <w:rPr>
                <w:rFonts w:ascii="Arial" w:hAnsi="Arial" w:cs="Arial"/>
                <w:sz w:val="18"/>
                <w:szCs w:val="18"/>
              </w:rPr>
            </w:r>
          </w:p>
        </w:tc>
        <w:tc>
          <w:tcPr>
            <w:tcBorders/>
          </w:tcPr>
          <w:p w14:paraId="791E4D83">
            <w:pPr>
              <w:pStyle w:val="874"/>
              <w:pBdr/>
              <w:spacing/>
              <w:ind/>
              <w:jc w:val="right"/>
              <w:rPr>
                <w:rFonts w:ascii="Arial" w:hAnsi="Arial" w:cs="Arial"/>
                <w:sz w:val="18"/>
                <w:szCs w:val="18"/>
              </w:rPr>
            </w:pPr>
            <w:r>
              <w:rPr>
                <w:rFonts w:ascii="Arial" w:hAnsi="Arial" w:eastAsia="Arial" w:cs="Arial"/>
                <w:sz w:val="18"/>
                <w:szCs w:val="18"/>
              </w:rPr>
              <w:t xml:space="preserve">11.1h</w:t>
            </w:r>
            <w:r>
              <w:rPr>
                <w:rFonts w:ascii="Arial" w:hAnsi="Arial" w:cs="Arial"/>
                <w:sz w:val="18"/>
                <w:szCs w:val="18"/>
              </w:rPr>
            </w:r>
            <w:r>
              <w:rPr>
                <w:rFonts w:ascii="Arial" w:hAnsi="Arial" w:cs="Arial"/>
                <w:sz w:val="18"/>
                <w:szCs w:val="18"/>
              </w:rPr>
            </w:r>
          </w:p>
        </w:tc>
        <w:tc>
          <w:tcPr>
            <w:tcBorders/>
          </w:tcPr>
          <w:p w14:paraId="4A5C8D92">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34AD998B">
            <w:pPr>
              <w:pStyle w:val="874"/>
              <w:pBdr/>
              <w:spacing/>
              <w:ind/>
              <w:rPr>
                <w:rFonts w:ascii="Arial" w:hAnsi="Arial" w:cs="Arial"/>
                <w:sz w:val="18"/>
                <w:szCs w:val="18"/>
              </w:rPr>
            </w:pPr>
            <w:r>
              <w:rPr>
                <w:rFonts w:ascii="Arial" w:hAnsi="Arial" w:eastAsia="Arial" w:cs="Arial"/>
                <w:sz w:val="18"/>
                <w:szCs w:val="18"/>
              </w:rPr>
              <w:t xml:space="preserve">East Claydon Storage</w:t>
            </w:r>
            <w:r>
              <w:rPr>
                <w:rFonts w:ascii="Arial" w:hAnsi="Arial" w:cs="Arial"/>
                <w:sz w:val="18"/>
                <w:szCs w:val="18"/>
              </w:rPr>
            </w:r>
            <w:r>
              <w:rPr>
                <w:rFonts w:ascii="Arial" w:hAnsi="Arial" w:cs="Arial"/>
                <w:sz w:val="18"/>
                <w:szCs w:val="18"/>
              </w:rPr>
            </w:r>
          </w:p>
        </w:tc>
        <w:tc>
          <w:tcPr>
            <w:tcBorders/>
          </w:tcPr>
          <w:p w14:paraId="3D9802DF">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7FC2F4F6">
            <w:pPr>
              <w:pStyle w:val="874"/>
              <w:pBdr/>
              <w:spacing/>
              <w:ind/>
              <w:rPr>
                <w:rFonts w:ascii="Arial" w:hAnsi="Arial" w:cs="Arial"/>
                <w:sz w:val="18"/>
                <w:szCs w:val="18"/>
              </w:rPr>
            </w:pPr>
            <w:r>
              <w:rPr>
                <w:rFonts w:ascii="Arial" w:hAnsi="Arial" w:eastAsia="Arial" w:cs="Arial"/>
                <w:sz w:val="18"/>
                <w:szCs w:val="18"/>
              </w:rPr>
              <w:t xml:space="preserve">East England</w:t>
            </w:r>
            <w:r>
              <w:rPr>
                <w:rFonts w:ascii="Arial" w:hAnsi="Arial" w:cs="Arial"/>
                <w:sz w:val="18"/>
                <w:szCs w:val="18"/>
              </w:rPr>
            </w:r>
            <w:r>
              <w:rPr>
                <w:rFonts w:ascii="Arial" w:hAnsi="Arial" w:cs="Arial"/>
                <w:sz w:val="18"/>
                <w:szCs w:val="18"/>
              </w:rPr>
            </w:r>
          </w:p>
        </w:tc>
        <w:tc>
          <w:tcPr>
            <w:tcBorders/>
          </w:tcPr>
          <w:p w14:paraId="58B6DB4D">
            <w:pPr>
              <w:pStyle w:val="874"/>
              <w:pBdr/>
              <w:spacing/>
              <w:ind/>
              <w:jc w:val="right"/>
              <w:rPr>
                <w:rFonts w:ascii="Arial" w:hAnsi="Arial" w:cs="Arial"/>
                <w:sz w:val="18"/>
                <w:szCs w:val="18"/>
              </w:rPr>
            </w:pPr>
            <w:r>
              <w:rPr>
                <w:rFonts w:ascii="Arial" w:hAnsi="Arial" w:eastAsia="Arial" w:cs="Arial"/>
                <w:sz w:val="18"/>
                <w:szCs w:val="18"/>
              </w:rPr>
              <w:t xml:space="preserve">500</w:t>
            </w:r>
            <w:r>
              <w:rPr>
                <w:rFonts w:ascii="Arial" w:hAnsi="Arial" w:cs="Arial"/>
                <w:sz w:val="18"/>
                <w:szCs w:val="18"/>
              </w:rPr>
            </w:r>
            <w:r>
              <w:rPr>
                <w:rFonts w:ascii="Arial" w:hAnsi="Arial" w:cs="Arial"/>
                <w:sz w:val="18"/>
                <w:szCs w:val="18"/>
              </w:rPr>
            </w:r>
          </w:p>
        </w:tc>
        <w:tc>
          <w:tcPr>
            <w:tcBorders/>
          </w:tcPr>
          <w:p w14:paraId="10E94B5F">
            <w:pPr>
              <w:pStyle w:val="874"/>
              <w:pBdr/>
              <w:spacing/>
              <w:ind/>
              <w:jc w:val="right"/>
              <w:rPr>
                <w:rFonts w:ascii="Arial" w:hAnsi="Arial" w:cs="Arial"/>
                <w:sz w:val="18"/>
                <w:szCs w:val="18"/>
              </w:rPr>
            </w:pPr>
            <w:r>
              <w:rPr>
                <w:rFonts w:ascii="Arial" w:hAnsi="Arial" w:eastAsia="Arial" w:cs="Arial"/>
                <w:sz w:val="18"/>
                <w:szCs w:val="18"/>
              </w:rPr>
              <w:t xml:space="preserve">6,000</w:t>
            </w:r>
            <w:r>
              <w:rPr>
                <w:rFonts w:ascii="Arial" w:hAnsi="Arial" w:cs="Arial"/>
                <w:sz w:val="18"/>
                <w:szCs w:val="18"/>
              </w:rPr>
            </w:r>
            <w:r>
              <w:rPr>
                <w:rFonts w:ascii="Arial" w:hAnsi="Arial" w:cs="Arial"/>
                <w:sz w:val="18"/>
                <w:szCs w:val="18"/>
              </w:rPr>
            </w:r>
          </w:p>
        </w:tc>
        <w:tc>
          <w:tcPr>
            <w:tcBorders/>
          </w:tcPr>
          <w:p w14:paraId="02DEF25A">
            <w:pPr>
              <w:pStyle w:val="874"/>
              <w:pBdr/>
              <w:spacing/>
              <w:ind/>
              <w:jc w:val="right"/>
              <w:rPr>
                <w:rFonts w:ascii="Arial" w:hAnsi="Arial" w:cs="Arial"/>
                <w:sz w:val="18"/>
                <w:szCs w:val="18"/>
              </w:rPr>
            </w:pPr>
            <w:r>
              <w:rPr>
                <w:rFonts w:ascii="Arial" w:hAnsi="Arial" w:eastAsia="Arial" w:cs="Arial"/>
                <w:sz w:val="18"/>
                <w:szCs w:val="18"/>
              </w:rPr>
              <w:t xml:space="preserve">12.0h</w:t>
            </w:r>
            <w:r>
              <w:rPr>
                <w:rFonts w:ascii="Arial" w:hAnsi="Arial" w:cs="Arial"/>
                <w:sz w:val="18"/>
                <w:szCs w:val="18"/>
              </w:rPr>
            </w:r>
            <w:r>
              <w:rPr>
                <w:rFonts w:ascii="Arial" w:hAnsi="Arial" w:cs="Arial"/>
                <w:sz w:val="18"/>
                <w:szCs w:val="18"/>
              </w:rPr>
            </w:r>
          </w:p>
        </w:tc>
        <w:tc>
          <w:tcPr>
            <w:tcBorders/>
          </w:tcPr>
          <w:p w14:paraId="5F39FB0C">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5EFF0D9A">
            <w:pPr>
              <w:pStyle w:val="874"/>
              <w:pBdr/>
              <w:spacing/>
              <w:ind/>
              <w:rPr>
                <w:rFonts w:ascii="Arial" w:hAnsi="Arial" w:cs="Arial"/>
                <w:sz w:val="18"/>
                <w:szCs w:val="18"/>
              </w:rPr>
            </w:pPr>
            <w:r>
              <w:rPr>
                <w:rFonts w:ascii="Arial" w:hAnsi="Arial" w:eastAsia="Arial" w:cs="Arial"/>
                <w:sz w:val="18"/>
                <w:szCs w:val="18"/>
              </w:rPr>
              <w:t xml:space="preserve">Field Long Stratton</w:t>
            </w:r>
            <w:r>
              <w:rPr>
                <w:rFonts w:ascii="Arial" w:hAnsi="Arial" w:cs="Arial"/>
                <w:sz w:val="18"/>
                <w:szCs w:val="18"/>
              </w:rPr>
            </w:r>
            <w:r>
              <w:rPr>
                <w:rFonts w:ascii="Arial" w:hAnsi="Arial" w:cs="Arial"/>
                <w:sz w:val="18"/>
                <w:szCs w:val="18"/>
              </w:rPr>
            </w:r>
          </w:p>
        </w:tc>
        <w:tc>
          <w:tcPr>
            <w:tcBorders/>
          </w:tcPr>
          <w:p w14:paraId="2A25A037">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7B421974">
            <w:pPr>
              <w:pStyle w:val="874"/>
              <w:pBdr/>
              <w:spacing/>
              <w:ind/>
              <w:rPr>
                <w:rFonts w:ascii="Arial" w:hAnsi="Arial" w:cs="Arial"/>
                <w:sz w:val="18"/>
                <w:szCs w:val="18"/>
              </w:rPr>
            </w:pPr>
            <w:r>
              <w:rPr>
                <w:rFonts w:ascii="Arial" w:hAnsi="Arial" w:eastAsia="Arial" w:cs="Arial"/>
                <w:sz w:val="18"/>
                <w:szCs w:val="18"/>
              </w:rPr>
              <w:t xml:space="preserve">East England</w:t>
            </w:r>
            <w:r>
              <w:rPr>
                <w:rFonts w:ascii="Arial" w:hAnsi="Arial" w:cs="Arial"/>
                <w:sz w:val="18"/>
                <w:szCs w:val="18"/>
              </w:rPr>
            </w:r>
            <w:r>
              <w:rPr>
                <w:rFonts w:ascii="Arial" w:hAnsi="Arial" w:cs="Arial"/>
                <w:sz w:val="18"/>
                <w:szCs w:val="18"/>
              </w:rPr>
            </w:r>
          </w:p>
        </w:tc>
        <w:tc>
          <w:tcPr>
            <w:tcBorders/>
          </w:tcPr>
          <w:p w14:paraId="579F4872">
            <w:pPr>
              <w:pStyle w:val="874"/>
              <w:pBdr/>
              <w:spacing/>
              <w:ind/>
              <w:jc w:val="right"/>
              <w:rPr>
                <w:rFonts w:ascii="Arial" w:hAnsi="Arial" w:cs="Arial"/>
                <w:sz w:val="18"/>
                <w:szCs w:val="18"/>
              </w:rPr>
            </w:pPr>
            <w:r>
              <w:rPr>
                <w:rFonts w:ascii="Arial" w:hAnsi="Arial" w:eastAsia="Arial" w:cs="Arial"/>
                <w:sz w:val="18"/>
                <w:szCs w:val="18"/>
              </w:rPr>
              <w:t xml:space="preserve">400</w:t>
            </w:r>
            <w:r>
              <w:rPr>
                <w:rFonts w:ascii="Arial" w:hAnsi="Arial" w:cs="Arial"/>
                <w:sz w:val="18"/>
                <w:szCs w:val="18"/>
              </w:rPr>
            </w:r>
            <w:r>
              <w:rPr>
                <w:rFonts w:ascii="Arial" w:hAnsi="Arial" w:cs="Arial"/>
                <w:sz w:val="18"/>
                <w:szCs w:val="18"/>
              </w:rPr>
            </w:r>
          </w:p>
        </w:tc>
        <w:tc>
          <w:tcPr>
            <w:tcBorders/>
          </w:tcPr>
          <w:p w14:paraId="5F60F9FE">
            <w:pPr>
              <w:pStyle w:val="874"/>
              <w:pBdr/>
              <w:spacing/>
              <w:ind/>
              <w:jc w:val="right"/>
              <w:rPr>
                <w:rFonts w:ascii="Arial" w:hAnsi="Arial" w:cs="Arial"/>
                <w:sz w:val="18"/>
                <w:szCs w:val="18"/>
              </w:rPr>
            </w:pPr>
            <w:r>
              <w:rPr>
                <w:rFonts w:ascii="Arial" w:hAnsi="Arial" w:eastAsia="Arial" w:cs="Arial"/>
                <w:sz w:val="18"/>
                <w:szCs w:val="18"/>
              </w:rPr>
              <w:t xml:space="preserve">6,440</w:t>
            </w:r>
            <w:r>
              <w:rPr>
                <w:rFonts w:ascii="Arial" w:hAnsi="Arial" w:cs="Arial"/>
                <w:sz w:val="18"/>
                <w:szCs w:val="18"/>
              </w:rPr>
            </w:r>
            <w:r>
              <w:rPr>
                <w:rFonts w:ascii="Arial" w:hAnsi="Arial" w:cs="Arial"/>
                <w:sz w:val="18"/>
                <w:szCs w:val="18"/>
              </w:rPr>
            </w:r>
          </w:p>
        </w:tc>
        <w:tc>
          <w:tcPr>
            <w:tcBorders/>
          </w:tcPr>
          <w:p w14:paraId="19C158B1">
            <w:pPr>
              <w:pStyle w:val="874"/>
              <w:pBdr/>
              <w:spacing/>
              <w:ind/>
              <w:jc w:val="right"/>
              <w:rPr>
                <w:rFonts w:ascii="Arial" w:hAnsi="Arial" w:cs="Arial"/>
                <w:sz w:val="18"/>
                <w:szCs w:val="18"/>
              </w:rPr>
            </w:pPr>
            <w:r>
              <w:rPr>
                <w:rFonts w:ascii="Arial" w:hAnsi="Arial" w:eastAsia="Arial" w:cs="Arial"/>
                <w:sz w:val="18"/>
                <w:szCs w:val="18"/>
              </w:rPr>
              <w:t xml:space="preserve">16.1h</w:t>
            </w:r>
            <w:r>
              <w:rPr>
                <w:rFonts w:ascii="Arial" w:hAnsi="Arial" w:cs="Arial"/>
                <w:sz w:val="18"/>
                <w:szCs w:val="18"/>
              </w:rPr>
            </w:r>
            <w:r>
              <w:rPr>
                <w:rFonts w:ascii="Arial" w:hAnsi="Arial" w:cs="Arial"/>
                <w:sz w:val="18"/>
                <w:szCs w:val="18"/>
              </w:rPr>
            </w:r>
          </w:p>
        </w:tc>
        <w:tc>
          <w:tcPr>
            <w:tcBorders/>
          </w:tcPr>
          <w:p w14:paraId="19D5DEF1">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r>
      <w:tr>
        <w:trPr/>
        <w:tc>
          <w:tcPr>
            <w:tcBorders/>
          </w:tcPr>
          <w:p w14:paraId="6B086346">
            <w:pPr>
              <w:pStyle w:val="874"/>
              <w:pBdr/>
              <w:spacing/>
              <w:ind/>
              <w:rPr>
                <w:rFonts w:ascii="Arial" w:hAnsi="Arial" w:cs="Arial"/>
                <w:sz w:val="18"/>
                <w:szCs w:val="18"/>
              </w:rPr>
            </w:pPr>
            <w:r>
              <w:rPr>
                <w:rFonts w:ascii="Arial" w:hAnsi="Arial" w:eastAsia="Arial" w:cs="Arial"/>
                <w:sz w:val="18"/>
                <w:szCs w:val="18"/>
              </w:rPr>
              <w:t xml:space="preserve">Field Netherton</w:t>
            </w:r>
            <w:r>
              <w:rPr>
                <w:rFonts w:ascii="Arial" w:hAnsi="Arial" w:cs="Arial"/>
                <w:sz w:val="18"/>
                <w:szCs w:val="18"/>
              </w:rPr>
            </w:r>
            <w:r>
              <w:rPr>
                <w:rFonts w:ascii="Arial" w:hAnsi="Arial" w:cs="Arial"/>
                <w:sz w:val="18"/>
                <w:szCs w:val="18"/>
              </w:rPr>
            </w:r>
          </w:p>
        </w:tc>
        <w:tc>
          <w:tcPr>
            <w:tcBorders/>
          </w:tcPr>
          <w:p w14:paraId="246132EC">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0F3546EC">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534AF23D">
            <w:pPr>
              <w:pStyle w:val="874"/>
              <w:pBdr/>
              <w:spacing/>
              <w:ind/>
              <w:jc w:val="right"/>
              <w:rPr>
                <w:rFonts w:ascii="Arial" w:hAnsi="Arial" w:cs="Arial"/>
                <w:sz w:val="18"/>
                <w:szCs w:val="18"/>
              </w:rPr>
            </w:pPr>
            <w:r>
              <w:rPr>
                <w:rFonts w:ascii="Arial" w:hAnsi="Arial" w:eastAsia="Arial" w:cs="Arial"/>
                <w:sz w:val="18"/>
                <w:szCs w:val="18"/>
              </w:rPr>
              <w:t xml:space="preserve">400</w:t>
            </w:r>
            <w:r>
              <w:rPr>
                <w:rFonts w:ascii="Arial" w:hAnsi="Arial" w:cs="Arial"/>
                <w:sz w:val="18"/>
                <w:szCs w:val="18"/>
              </w:rPr>
            </w:r>
            <w:r>
              <w:rPr>
                <w:rFonts w:ascii="Arial" w:hAnsi="Arial" w:cs="Arial"/>
                <w:sz w:val="18"/>
                <w:szCs w:val="18"/>
              </w:rPr>
            </w:r>
          </w:p>
        </w:tc>
        <w:tc>
          <w:tcPr>
            <w:tcBorders/>
          </w:tcPr>
          <w:p w14:paraId="557F229F">
            <w:pPr>
              <w:pStyle w:val="874"/>
              <w:pBdr/>
              <w:spacing/>
              <w:ind/>
              <w:jc w:val="right"/>
              <w:rPr>
                <w:rFonts w:ascii="Arial" w:hAnsi="Arial" w:cs="Arial"/>
                <w:sz w:val="18"/>
                <w:szCs w:val="18"/>
              </w:rPr>
            </w:pPr>
            <w:r>
              <w:rPr>
                <w:rFonts w:ascii="Arial" w:hAnsi="Arial" w:eastAsia="Arial" w:cs="Arial"/>
                <w:sz w:val="18"/>
                <w:szCs w:val="18"/>
              </w:rPr>
              <w:t xml:space="preserve">6,520</w:t>
            </w:r>
            <w:r>
              <w:rPr>
                <w:rFonts w:ascii="Arial" w:hAnsi="Arial" w:cs="Arial"/>
                <w:sz w:val="18"/>
                <w:szCs w:val="18"/>
              </w:rPr>
            </w:r>
            <w:r>
              <w:rPr>
                <w:rFonts w:ascii="Arial" w:hAnsi="Arial" w:cs="Arial"/>
                <w:sz w:val="18"/>
                <w:szCs w:val="18"/>
              </w:rPr>
            </w:r>
          </w:p>
        </w:tc>
        <w:tc>
          <w:tcPr>
            <w:tcBorders/>
          </w:tcPr>
          <w:p w14:paraId="46617E73">
            <w:pPr>
              <w:pStyle w:val="874"/>
              <w:pBdr/>
              <w:spacing/>
              <w:ind/>
              <w:jc w:val="right"/>
              <w:rPr>
                <w:rFonts w:ascii="Arial" w:hAnsi="Arial" w:cs="Arial"/>
                <w:sz w:val="18"/>
                <w:szCs w:val="18"/>
              </w:rPr>
            </w:pPr>
            <w:r>
              <w:rPr>
                <w:rFonts w:ascii="Arial" w:hAnsi="Arial" w:eastAsia="Arial" w:cs="Arial"/>
                <w:sz w:val="18"/>
                <w:szCs w:val="18"/>
              </w:rPr>
              <w:t xml:space="preserve">16.3h</w:t>
            </w:r>
            <w:r>
              <w:rPr>
                <w:rFonts w:ascii="Arial" w:hAnsi="Arial" w:cs="Arial"/>
                <w:sz w:val="18"/>
                <w:szCs w:val="18"/>
              </w:rPr>
            </w:r>
            <w:r>
              <w:rPr>
                <w:rFonts w:ascii="Arial" w:hAnsi="Arial" w:cs="Arial"/>
                <w:sz w:val="18"/>
                <w:szCs w:val="18"/>
              </w:rPr>
            </w:r>
          </w:p>
        </w:tc>
        <w:tc>
          <w:tcPr>
            <w:tcBorders/>
          </w:tcPr>
          <w:p w14:paraId="27C78093">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r>
      <w:tr>
        <w:trPr/>
        <w:tc>
          <w:tcPr>
            <w:tcBorders/>
          </w:tcPr>
          <w:p w14:paraId="5D042659">
            <w:pPr>
              <w:pStyle w:val="874"/>
              <w:pBdr/>
              <w:spacing/>
              <w:ind/>
              <w:rPr>
                <w:rFonts w:ascii="Arial" w:hAnsi="Arial" w:cs="Arial"/>
                <w:sz w:val="18"/>
                <w:szCs w:val="18"/>
              </w:rPr>
            </w:pPr>
            <w:r>
              <w:rPr>
                <w:rFonts w:ascii="Arial" w:hAnsi="Arial" w:eastAsia="Arial" w:cs="Arial"/>
                <w:sz w:val="18"/>
                <w:szCs w:val="18"/>
              </w:rPr>
              <w:t xml:space="preserve">Field Fyrish</w:t>
            </w:r>
            <w:r>
              <w:rPr>
                <w:rFonts w:ascii="Arial" w:hAnsi="Arial" w:cs="Arial"/>
                <w:sz w:val="18"/>
                <w:szCs w:val="18"/>
              </w:rPr>
            </w:r>
            <w:r>
              <w:rPr>
                <w:rFonts w:ascii="Arial" w:hAnsi="Arial" w:cs="Arial"/>
                <w:sz w:val="18"/>
                <w:szCs w:val="18"/>
              </w:rPr>
            </w:r>
          </w:p>
        </w:tc>
        <w:tc>
          <w:tcPr>
            <w:tcBorders/>
          </w:tcPr>
          <w:p w14:paraId="3C269852">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699EF477">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559EF6C6">
            <w:pPr>
              <w:pStyle w:val="874"/>
              <w:pBdr/>
              <w:spacing/>
              <w:ind/>
              <w:jc w:val="right"/>
              <w:rPr>
                <w:rFonts w:ascii="Arial" w:hAnsi="Arial" w:cs="Arial"/>
                <w:sz w:val="18"/>
                <w:szCs w:val="18"/>
              </w:rPr>
            </w:pPr>
            <w:r>
              <w:rPr>
                <w:rFonts w:ascii="Arial" w:hAnsi="Arial" w:eastAsia="Arial" w:cs="Arial"/>
                <w:sz w:val="18"/>
                <w:szCs w:val="18"/>
              </w:rPr>
              <w:t xml:space="preserve">200</w:t>
            </w:r>
            <w:r>
              <w:rPr>
                <w:rFonts w:ascii="Arial" w:hAnsi="Arial" w:cs="Arial"/>
                <w:sz w:val="18"/>
                <w:szCs w:val="18"/>
              </w:rPr>
            </w:r>
            <w:r>
              <w:rPr>
                <w:rFonts w:ascii="Arial" w:hAnsi="Arial" w:cs="Arial"/>
                <w:sz w:val="18"/>
                <w:szCs w:val="18"/>
              </w:rPr>
            </w:r>
          </w:p>
        </w:tc>
        <w:tc>
          <w:tcPr>
            <w:tcBorders/>
          </w:tcPr>
          <w:p w14:paraId="431FEAF5">
            <w:pPr>
              <w:pStyle w:val="874"/>
              <w:pBdr/>
              <w:spacing/>
              <w:ind/>
              <w:jc w:val="right"/>
              <w:rPr>
                <w:rFonts w:ascii="Arial" w:hAnsi="Arial" w:cs="Arial"/>
                <w:sz w:val="18"/>
                <w:szCs w:val="18"/>
              </w:rPr>
            </w:pPr>
            <w:r>
              <w:rPr>
                <w:rFonts w:ascii="Arial" w:hAnsi="Arial" w:eastAsia="Arial" w:cs="Arial"/>
                <w:sz w:val="18"/>
                <w:szCs w:val="18"/>
              </w:rPr>
              <w:t xml:space="preserve">3,300</w:t>
            </w:r>
            <w:r>
              <w:rPr>
                <w:rFonts w:ascii="Arial" w:hAnsi="Arial" w:cs="Arial"/>
                <w:sz w:val="18"/>
                <w:szCs w:val="18"/>
              </w:rPr>
            </w:r>
            <w:r>
              <w:rPr>
                <w:rFonts w:ascii="Arial" w:hAnsi="Arial" w:cs="Arial"/>
                <w:sz w:val="18"/>
                <w:szCs w:val="18"/>
              </w:rPr>
            </w:r>
          </w:p>
        </w:tc>
        <w:tc>
          <w:tcPr>
            <w:tcBorders/>
          </w:tcPr>
          <w:p w14:paraId="2F52C626">
            <w:pPr>
              <w:pStyle w:val="874"/>
              <w:pBdr/>
              <w:spacing/>
              <w:ind/>
              <w:jc w:val="right"/>
              <w:rPr>
                <w:rFonts w:ascii="Arial" w:hAnsi="Arial" w:cs="Arial"/>
                <w:sz w:val="18"/>
                <w:szCs w:val="18"/>
              </w:rPr>
            </w:pPr>
            <w:r>
              <w:rPr>
                <w:rFonts w:ascii="Arial" w:hAnsi="Arial" w:eastAsia="Arial" w:cs="Arial"/>
                <w:sz w:val="18"/>
                <w:szCs w:val="18"/>
              </w:rPr>
              <w:t xml:space="preserve">16.5h</w:t>
            </w:r>
            <w:r>
              <w:rPr>
                <w:rFonts w:ascii="Arial" w:hAnsi="Arial" w:cs="Arial"/>
                <w:sz w:val="18"/>
                <w:szCs w:val="18"/>
              </w:rPr>
            </w:r>
            <w:r>
              <w:rPr>
                <w:rFonts w:ascii="Arial" w:hAnsi="Arial" w:cs="Arial"/>
                <w:sz w:val="18"/>
                <w:szCs w:val="18"/>
              </w:rPr>
            </w:r>
          </w:p>
        </w:tc>
        <w:tc>
          <w:tcPr>
            <w:tcBorders/>
          </w:tcPr>
          <w:p w14:paraId="06E09CA1">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r>
      <w:tr>
        <w:trPr/>
        <w:tc>
          <w:tcPr>
            <w:tcBorders/>
          </w:tcPr>
          <w:p w14:paraId="66A581C9">
            <w:pPr>
              <w:pStyle w:val="874"/>
              <w:pBdr/>
              <w:spacing/>
              <w:ind/>
              <w:rPr>
                <w:rFonts w:ascii="Arial" w:hAnsi="Arial" w:cs="Arial"/>
                <w:sz w:val="18"/>
                <w:szCs w:val="18"/>
              </w:rPr>
            </w:pPr>
            <w:r>
              <w:rPr>
                <w:rFonts w:ascii="Arial" w:hAnsi="Arial" w:eastAsia="Arial" w:cs="Arial"/>
                <w:sz w:val="18"/>
                <w:szCs w:val="18"/>
              </w:rPr>
              <w:t xml:space="preserve">Field New Deer</w:t>
            </w:r>
            <w:r>
              <w:rPr>
                <w:rFonts w:ascii="Arial" w:hAnsi="Arial" w:cs="Arial"/>
                <w:sz w:val="18"/>
                <w:szCs w:val="18"/>
              </w:rPr>
            </w:r>
            <w:r>
              <w:rPr>
                <w:rFonts w:ascii="Arial" w:hAnsi="Arial" w:cs="Arial"/>
                <w:sz w:val="18"/>
                <w:szCs w:val="18"/>
              </w:rPr>
            </w:r>
          </w:p>
        </w:tc>
        <w:tc>
          <w:tcPr>
            <w:tcBorders/>
          </w:tcPr>
          <w:p w14:paraId="36D01880">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60945D0A">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0E1BF04E">
            <w:pPr>
              <w:pStyle w:val="874"/>
              <w:pBdr/>
              <w:spacing/>
              <w:ind/>
              <w:jc w:val="right"/>
              <w:rPr>
                <w:rFonts w:ascii="Arial" w:hAnsi="Arial" w:cs="Arial"/>
                <w:sz w:val="18"/>
                <w:szCs w:val="18"/>
              </w:rPr>
            </w:pPr>
            <w:r>
              <w:rPr>
                <w:rFonts w:ascii="Arial" w:hAnsi="Arial" w:eastAsia="Arial" w:cs="Arial"/>
                <w:sz w:val="18"/>
                <w:szCs w:val="18"/>
              </w:rPr>
              <w:t xml:space="preserve">400</w:t>
            </w:r>
            <w:r>
              <w:rPr>
                <w:rFonts w:ascii="Arial" w:hAnsi="Arial" w:cs="Arial"/>
                <w:sz w:val="18"/>
                <w:szCs w:val="18"/>
              </w:rPr>
            </w:r>
            <w:r>
              <w:rPr>
                <w:rFonts w:ascii="Arial" w:hAnsi="Arial" w:cs="Arial"/>
                <w:sz w:val="18"/>
                <w:szCs w:val="18"/>
              </w:rPr>
            </w:r>
          </w:p>
        </w:tc>
        <w:tc>
          <w:tcPr>
            <w:tcBorders/>
          </w:tcPr>
          <w:p w14:paraId="0CF9255E">
            <w:pPr>
              <w:pStyle w:val="874"/>
              <w:pBdr/>
              <w:spacing/>
              <w:ind/>
              <w:jc w:val="right"/>
              <w:rPr>
                <w:rFonts w:ascii="Arial" w:hAnsi="Arial" w:cs="Arial"/>
                <w:sz w:val="18"/>
                <w:szCs w:val="18"/>
              </w:rPr>
            </w:pPr>
            <w:r>
              <w:rPr>
                <w:rFonts w:ascii="Arial" w:hAnsi="Arial" w:eastAsia="Arial" w:cs="Arial"/>
                <w:sz w:val="18"/>
                <w:szCs w:val="18"/>
              </w:rPr>
              <w:t xml:space="preserve">7,200</w:t>
            </w:r>
            <w:r>
              <w:rPr>
                <w:rFonts w:ascii="Arial" w:hAnsi="Arial" w:cs="Arial"/>
                <w:sz w:val="18"/>
                <w:szCs w:val="18"/>
              </w:rPr>
            </w:r>
            <w:r>
              <w:rPr>
                <w:rFonts w:ascii="Arial" w:hAnsi="Arial" w:cs="Arial"/>
                <w:sz w:val="18"/>
                <w:szCs w:val="18"/>
              </w:rPr>
            </w:r>
          </w:p>
        </w:tc>
        <w:tc>
          <w:tcPr>
            <w:tcBorders/>
          </w:tcPr>
          <w:p w14:paraId="34217B01">
            <w:pPr>
              <w:pStyle w:val="874"/>
              <w:pBdr/>
              <w:spacing/>
              <w:ind/>
              <w:jc w:val="right"/>
              <w:rPr>
                <w:rFonts w:ascii="Arial" w:hAnsi="Arial" w:cs="Arial"/>
                <w:sz w:val="18"/>
                <w:szCs w:val="18"/>
              </w:rPr>
            </w:pPr>
            <w:r>
              <w:rPr>
                <w:rFonts w:ascii="Arial" w:hAnsi="Arial" w:eastAsia="Arial" w:cs="Arial"/>
                <w:sz w:val="18"/>
                <w:szCs w:val="18"/>
              </w:rPr>
              <w:t xml:space="preserve">18.0h</w:t>
            </w:r>
            <w:r>
              <w:rPr>
                <w:rFonts w:ascii="Arial" w:hAnsi="Arial" w:cs="Arial"/>
                <w:sz w:val="18"/>
                <w:szCs w:val="18"/>
              </w:rPr>
            </w:r>
            <w:r>
              <w:rPr>
                <w:rFonts w:ascii="Arial" w:hAnsi="Arial" w:cs="Arial"/>
                <w:sz w:val="18"/>
                <w:szCs w:val="18"/>
              </w:rPr>
            </w:r>
          </w:p>
        </w:tc>
        <w:tc>
          <w:tcPr>
            <w:tcBorders/>
          </w:tcPr>
          <w:p w14:paraId="440032C9">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r>
      <w:tr>
        <w:trPr/>
        <w:tc>
          <w:tcPr>
            <w:tcBorders/>
          </w:tcPr>
          <w:p w14:paraId="0125765E">
            <w:pPr>
              <w:pStyle w:val="874"/>
              <w:pBdr/>
              <w:spacing/>
              <w:ind/>
              <w:rPr>
                <w:rFonts w:ascii="Arial" w:hAnsi="Arial" w:cs="Arial"/>
                <w:sz w:val="18"/>
                <w:szCs w:val="18"/>
              </w:rPr>
            </w:pPr>
            <w:r>
              <w:rPr>
                <w:rFonts w:ascii="Arial" w:hAnsi="Arial" w:eastAsia="Arial" w:cs="Arial"/>
                <w:sz w:val="18"/>
                <w:szCs w:val="18"/>
              </w:rPr>
              <w:t xml:space="preserve">Field Rigifa</w:t>
            </w:r>
            <w:r>
              <w:rPr>
                <w:rFonts w:ascii="Arial" w:hAnsi="Arial" w:cs="Arial"/>
                <w:sz w:val="18"/>
                <w:szCs w:val="18"/>
              </w:rPr>
            </w:r>
            <w:r>
              <w:rPr>
                <w:rFonts w:ascii="Arial" w:hAnsi="Arial" w:cs="Arial"/>
                <w:sz w:val="18"/>
                <w:szCs w:val="18"/>
              </w:rPr>
            </w:r>
          </w:p>
        </w:tc>
        <w:tc>
          <w:tcPr>
            <w:tcBorders/>
          </w:tcPr>
          <w:p w14:paraId="7AA85C2B">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163F5816">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2F096FEC">
            <w:pPr>
              <w:pStyle w:val="874"/>
              <w:pBdr/>
              <w:spacing/>
              <w:ind/>
              <w:jc w:val="right"/>
              <w:rPr>
                <w:rFonts w:ascii="Arial" w:hAnsi="Arial" w:cs="Arial"/>
                <w:sz w:val="18"/>
                <w:szCs w:val="18"/>
              </w:rPr>
            </w:pPr>
            <w:r>
              <w:rPr>
                <w:rFonts w:ascii="Arial" w:hAnsi="Arial" w:eastAsia="Arial" w:cs="Arial"/>
                <w:sz w:val="18"/>
                <w:szCs w:val="18"/>
              </w:rPr>
              <w:t xml:space="preserve">200</w:t>
            </w:r>
            <w:r>
              <w:rPr>
                <w:rFonts w:ascii="Arial" w:hAnsi="Arial" w:cs="Arial"/>
                <w:sz w:val="18"/>
                <w:szCs w:val="18"/>
              </w:rPr>
            </w:r>
            <w:r>
              <w:rPr>
                <w:rFonts w:ascii="Arial" w:hAnsi="Arial" w:cs="Arial"/>
                <w:sz w:val="18"/>
                <w:szCs w:val="18"/>
              </w:rPr>
            </w:r>
          </w:p>
        </w:tc>
        <w:tc>
          <w:tcPr>
            <w:tcBorders/>
          </w:tcPr>
          <w:p w14:paraId="2A3923A4">
            <w:pPr>
              <w:pStyle w:val="874"/>
              <w:pBdr/>
              <w:spacing/>
              <w:ind/>
              <w:jc w:val="right"/>
              <w:rPr>
                <w:rFonts w:ascii="Arial" w:hAnsi="Arial" w:cs="Arial"/>
                <w:sz w:val="18"/>
                <w:szCs w:val="18"/>
              </w:rPr>
            </w:pPr>
            <w:r>
              <w:rPr>
                <w:rFonts w:ascii="Arial" w:hAnsi="Arial" w:eastAsia="Arial" w:cs="Arial"/>
                <w:sz w:val="18"/>
                <w:szCs w:val="18"/>
              </w:rPr>
              <w:t xml:space="preserve">3,600</w:t>
            </w:r>
            <w:r>
              <w:rPr>
                <w:rFonts w:ascii="Arial" w:hAnsi="Arial" w:cs="Arial"/>
                <w:sz w:val="18"/>
                <w:szCs w:val="18"/>
              </w:rPr>
            </w:r>
            <w:r>
              <w:rPr>
                <w:rFonts w:ascii="Arial" w:hAnsi="Arial" w:cs="Arial"/>
                <w:sz w:val="18"/>
                <w:szCs w:val="18"/>
              </w:rPr>
            </w:r>
          </w:p>
        </w:tc>
        <w:tc>
          <w:tcPr>
            <w:tcBorders/>
          </w:tcPr>
          <w:p w14:paraId="49C19296">
            <w:pPr>
              <w:pStyle w:val="874"/>
              <w:pBdr/>
              <w:spacing/>
              <w:ind/>
              <w:jc w:val="right"/>
              <w:rPr>
                <w:rFonts w:ascii="Arial" w:hAnsi="Arial" w:cs="Arial"/>
                <w:sz w:val="18"/>
                <w:szCs w:val="18"/>
              </w:rPr>
            </w:pPr>
            <w:r>
              <w:rPr>
                <w:rFonts w:ascii="Arial" w:hAnsi="Arial" w:eastAsia="Arial" w:cs="Arial"/>
                <w:sz w:val="18"/>
                <w:szCs w:val="18"/>
              </w:rPr>
              <w:t xml:space="preserve">18.0h</w:t>
            </w:r>
            <w:r>
              <w:rPr>
                <w:rFonts w:ascii="Arial" w:hAnsi="Arial" w:cs="Arial"/>
                <w:sz w:val="18"/>
                <w:szCs w:val="18"/>
              </w:rPr>
            </w:r>
            <w:r>
              <w:rPr>
                <w:rFonts w:ascii="Arial" w:hAnsi="Arial" w:cs="Arial"/>
                <w:sz w:val="18"/>
                <w:szCs w:val="18"/>
              </w:rPr>
            </w:r>
          </w:p>
        </w:tc>
        <w:tc>
          <w:tcPr>
            <w:tcBorders/>
          </w:tcPr>
          <w:p w14:paraId="018A85BA">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r>
      <w:tr>
        <w:trPr/>
        <w:tc>
          <w:tcPr>
            <w:tcBorders/>
          </w:tcPr>
          <w:p w14:paraId="56053FDD">
            <w:pPr>
              <w:pStyle w:val="874"/>
              <w:pBdr/>
              <w:spacing/>
              <w:ind/>
              <w:rPr>
                <w:rFonts w:ascii="Arial" w:hAnsi="Arial" w:cs="Arial"/>
                <w:sz w:val="18"/>
                <w:szCs w:val="18"/>
              </w:rPr>
            </w:pPr>
            <w:r>
              <w:rPr>
                <w:rFonts w:ascii="Arial" w:hAnsi="Arial" w:eastAsia="Arial" w:cs="Arial"/>
                <w:sz w:val="18"/>
                <w:szCs w:val="18"/>
              </w:rPr>
              <w:t xml:space="preserve">Earba</w:t>
            </w:r>
            <w:r>
              <w:rPr>
                <w:rFonts w:ascii="Arial" w:hAnsi="Arial" w:cs="Arial"/>
                <w:sz w:val="18"/>
                <w:szCs w:val="18"/>
              </w:rPr>
            </w:r>
            <w:r>
              <w:rPr>
                <w:rFonts w:ascii="Arial" w:hAnsi="Arial" w:cs="Arial"/>
                <w:sz w:val="18"/>
                <w:szCs w:val="18"/>
              </w:rPr>
            </w:r>
          </w:p>
        </w:tc>
        <w:tc>
          <w:tcPr>
            <w:tcBorders/>
          </w:tcPr>
          <w:p w14:paraId="0DA04E69">
            <w:pPr>
              <w:pStyle w:val="874"/>
              <w:pBdr/>
              <w:spacing/>
              <w:ind/>
              <w:rPr>
                <w:rFonts w:ascii="Arial" w:hAnsi="Arial" w:cs="Arial"/>
                <w:sz w:val="18"/>
                <w:szCs w:val="18"/>
              </w:rPr>
            </w:pPr>
            <w:r>
              <w:rPr>
                <w:rFonts w:ascii="Arial" w:hAnsi="Arial" w:eastAsia="Arial" w:cs="Arial"/>
                <w:sz w:val="18"/>
                <w:szCs w:val="18"/>
              </w:rPr>
              <w:t xml:space="preserve">PSH</w:t>
            </w:r>
            <w:r>
              <w:rPr>
                <w:rFonts w:ascii="Arial" w:hAnsi="Arial" w:cs="Arial"/>
                <w:sz w:val="18"/>
                <w:szCs w:val="18"/>
              </w:rPr>
            </w:r>
            <w:r>
              <w:rPr>
                <w:rFonts w:ascii="Arial" w:hAnsi="Arial" w:cs="Arial"/>
                <w:sz w:val="18"/>
                <w:szCs w:val="18"/>
              </w:rPr>
            </w:r>
          </w:p>
        </w:tc>
        <w:tc>
          <w:tcPr>
            <w:tcBorders/>
          </w:tcPr>
          <w:p w14:paraId="4CC7B81B">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4F4F8F4B">
            <w:pPr>
              <w:pStyle w:val="874"/>
              <w:pBdr/>
              <w:spacing/>
              <w:ind/>
              <w:jc w:val="right"/>
              <w:rPr>
                <w:rFonts w:ascii="Arial" w:hAnsi="Arial" w:cs="Arial"/>
                <w:sz w:val="18"/>
                <w:szCs w:val="18"/>
              </w:rPr>
            </w:pPr>
            <w:r>
              <w:rPr>
                <w:rFonts w:ascii="Arial" w:hAnsi="Arial" w:eastAsia="Arial" w:cs="Arial"/>
                <w:sz w:val="18"/>
                <w:szCs w:val="18"/>
              </w:rPr>
              <w:t xml:space="preserve">1,800</w:t>
            </w:r>
            <w:r>
              <w:rPr>
                <w:rFonts w:ascii="Arial" w:hAnsi="Arial" w:cs="Arial"/>
                <w:sz w:val="18"/>
                <w:szCs w:val="18"/>
              </w:rPr>
            </w:r>
            <w:r>
              <w:rPr>
                <w:rFonts w:ascii="Arial" w:hAnsi="Arial" w:cs="Arial"/>
                <w:sz w:val="18"/>
                <w:szCs w:val="18"/>
              </w:rPr>
            </w:r>
          </w:p>
        </w:tc>
        <w:tc>
          <w:tcPr>
            <w:tcBorders/>
          </w:tcPr>
          <w:p w14:paraId="4C3450A9">
            <w:pPr>
              <w:pStyle w:val="874"/>
              <w:pBdr/>
              <w:spacing/>
              <w:ind/>
              <w:jc w:val="right"/>
              <w:rPr>
                <w:rFonts w:ascii="Arial" w:hAnsi="Arial" w:cs="Arial"/>
                <w:sz w:val="18"/>
                <w:szCs w:val="18"/>
              </w:rPr>
            </w:pPr>
            <w:r>
              <w:rPr>
                <w:rFonts w:ascii="Arial" w:hAnsi="Arial" w:eastAsia="Arial" w:cs="Arial"/>
                <w:sz w:val="18"/>
                <w:szCs w:val="18"/>
              </w:rPr>
              <w:t xml:space="preserve">27,000</w:t>
            </w:r>
            <w:r>
              <w:rPr>
                <w:rFonts w:ascii="Arial" w:hAnsi="Arial" w:cs="Arial"/>
                <w:sz w:val="18"/>
                <w:szCs w:val="18"/>
              </w:rPr>
            </w:r>
            <w:r>
              <w:rPr>
                <w:rFonts w:ascii="Arial" w:hAnsi="Arial" w:cs="Arial"/>
                <w:sz w:val="18"/>
                <w:szCs w:val="18"/>
              </w:rPr>
            </w:r>
          </w:p>
        </w:tc>
        <w:tc>
          <w:tcPr>
            <w:tcBorders/>
          </w:tcPr>
          <w:p w14:paraId="27B088AE">
            <w:pPr>
              <w:pStyle w:val="874"/>
              <w:pBdr/>
              <w:spacing/>
              <w:ind/>
              <w:jc w:val="right"/>
              <w:rPr>
                <w:rFonts w:ascii="Arial" w:hAnsi="Arial" w:cs="Arial"/>
                <w:sz w:val="18"/>
                <w:szCs w:val="18"/>
              </w:rPr>
            </w:pPr>
            <w:r>
              <w:rPr>
                <w:rFonts w:ascii="Arial" w:hAnsi="Arial" w:eastAsia="Arial" w:cs="Arial"/>
                <w:sz w:val="18"/>
                <w:szCs w:val="18"/>
              </w:rPr>
              <w:t xml:space="preserve">15.0h</w:t>
            </w:r>
            <w:r>
              <w:rPr>
                <w:rFonts w:ascii="Arial" w:hAnsi="Arial" w:cs="Arial"/>
                <w:sz w:val="18"/>
                <w:szCs w:val="18"/>
              </w:rPr>
            </w:r>
            <w:r>
              <w:rPr>
                <w:rFonts w:ascii="Arial" w:hAnsi="Arial" w:cs="Arial"/>
                <w:sz w:val="18"/>
                <w:szCs w:val="18"/>
              </w:rPr>
            </w:r>
          </w:p>
        </w:tc>
        <w:tc>
          <w:tcPr>
            <w:tcBorders/>
          </w:tcPr>
          <w:p w14:paraId="68899E3F">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r>
      <w:tr>
        <w:trPr/>
        <w:tc>
          <w:tcPr>
            <w:tcBorders/>
          </w:tcPr>
          <w:p w14:paraId="5163B80D">
            <w:pPr>
              <w:pStyle w:val="874"/>
              <w:pBdr/>
              <w:spacing/>
              <w:ind/>
              <w:rPr>
                <w:rFonts w:ascii="Arial" w:hAnsi="Arial" w:cs="Arial"/>
                <w:sz w:val="18"/>
                <w:szCs w:val="18"/>
              </w:rPr>
            </w:pPr>
            <w:r>
              <w:rPr>
                <w:rFonts w:ascii="Arial" w:hAnsi="Arial" w:eastAsia="Arial" w:cs="Arial"/>
                <w:sz w:val="18"/>
                <w:szCs w:val="18"/>
              </w:rPr>
              <w:t xml:space="preserve">Loch Kemp Storage</w:t>
            </w:r>
            <w:r>
              <w:rPr>
                <w:rFonts w:ascii="Arial" w:hAnsi="Arial" w:cs="Arial"/>
                <w:sz w:val="18"/>
                <w:szCs w:val="18"/>
              </w:rPr>
            </w:r>
            <w:r>
              <w:rPr>
                <w:rFonts w:ascii="Arial" w:hAnsi="Arial" w:cs="Arial"/>
                <w:sz w:val="18"/>
                <w:szCs w:val="18"/>
              </w:rPr>
            </w:r>
          </w:p>
        </w:tc>
        <w:tc>
          <w:tcPr>
            <w:tcBorders/>
          </w:tcPr>
          <w:p w14:paraId="5FC799E8">
            <w:pPr>
              <w:pStyle w:val="874"/>
              <w:pBdr/>
              <w:spacing/>
              <w:ind/>
              <w:rPr>
                <w:rFonts w:ascii="Arial" w:hAnsi="Arial" w:cs="Arial"/>
                <w:sz w:val="18"/>
                <w:szCs w:val="18"/>
              </w:rPr>
            </w:pPr>
            <w:r>
              <w:rPr>
                <w:rFonts w:ascii="Arial" w:hAnsi="Arial" w:eastAsia="Arial" w:cs="Arial"/>
                <w:sz w:val="18"/>
                <w:szCs w:val="18"/>
              </w:rPr>
              <w:t xml:space="preserve">PSH</w:t>
            </w:r>
            <w:r>
              <w:rPr>
                <w:rFonts w:ascii="Arial" w:hAnsi="Arial" w:cs="Arial"/>
                <w:sz w:val="18"/>
                <w:szCs w:val="18"/>
              </w:rPr>
            </w:r>
            <w:r>
              <w:rPr>
                <w:rFonts w:ascii="Arial" w:hAnsi="Arial" w:cs="Arial"/>
                <w:sz w:val="18"/>
                <w:szCs w:val="18"/>
              </w:rPr>
            </w:r>
          </w:p>
        </w:tc>
        <w:tc>
          <w:tcPr>
            <w:tcBorders/>
          </w:tcPr>
          <w:p w14:paraId="0C8B5348">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1060340D">
            <w:pPr>
              <w:pStyle w:val="874"/>
              <w:pBdr/>
              <w:spacing/>
              <w:ind/>
              <w:jc w:val="right"/>
              <w:rPr>
                <w:rFonts w:ascii="Arial" w:hAnsi="Arial" w:cs="Arial"/>
                <w:sz w:val="18"/>
                <w:szCs w:val="18"/>
              </w:rPr>
            </w:pPr>
            <w:r>
              <w:rPr>
                <w:rFonts w:ascii="Arial" w:hAnsi="Arial" w:eastAsia="Arial" w:cs="Arial"/>
                <w:sz w:val="18"/>
                <w:szCs w:val="18"/>
              </w:rPr>
              <w:t xml:space="preserve">660</w:t>
            </w:r>
            <w:r>
              <w:rPr>
                <w:rFonts w:ascii="Arial" w:hAnsi="Arial" w:cs="Arial"/>
                <w:sz w:val="18"/>
                <w:szCs w:val="18"/>
              </w:rPr>
            </w:r>
            <w:r>
              <w:rPr>
                <w:rFonts w:ascii="Arial" w:hAnsi="Arial" w:cs="Arial"/>
                <w:sz w:val="18"/>
                <w:szCs w:val="18"/>
              </w:rPr>
            </w:r>
          </w:p>
        </w:tc>
        <w:tc>
          <w:tcPr>
            <w:tcBorders/>
          </w:tcPr>
          <w:p w14:paraId="12DA4010">
            <w:pPr>
              <w:pStyle w:val="874"/>
              <w:pBdr/>
              <w:spacing/>
              <w:ind/>
              <w:jc w:val="right"/>
              <w:rPr>
                <w:rFonts w:ascii="Arial" w:hAnsi="Arial" w:cs="Arial"/>
                <w:sz w:val="18"/>
                <w:szCs w:val="18"/>
              </w:rPr>
            </w:pPr>
            <w:r>
              <w:rPr>
                <w:rFonts w:ascii="Arial" w:hAnsi="Arial" w:eastAsia="Arial" w:cs="Arial"/>
                <w:sz w:val="18"/>
                <w:szCs w:val="18"/>
              </w:rPr>
              <w:t xml:space="preserve">14,718</w:t>
            </w:r>
            <w:r>
              <w:rPr>
                <w:rFonts w:ascii="Arial" w:hAnsi="Arial" w:cs="Arial"/>
                <w:sz w:val="18"/>
                <w:szCs w:val="18"/>
              </w:rPr>
            </w:r>
            <w:r>
              <w:rPr>
                <w:rFonts w:ascii="Arial" w:hAnsi="Arial" w:cs="Arial"/>
                <w:sz w:val="18"/>
                <w:szCs w:val="18"/>
              </w:rPr>
            </w:r>
          </w:p>
        </w:tc>
        <w:tc>
          <w:tcPr>
            <w:tcBorders/>
          </w:tcPr>
          <w:p w14:paraId="53AD3BA9">
            <w:pPr>
              <w:pStyle w:val="874"/>
              <w:pBdr/>
              <w:spacing/>
              <w:ind/>
              <w:jc w:val="right"/>
              <w:rPr>
                <w:rFonts w:ascii="Arial" w:hAnsi="Arial" w:cs="Arial"/>
                <w:sz w:val="18"/>
                <w:szCs w:val="18"/>
              </w:rPr>
            </w:pPr>
            <w:r>
              <w:rPr>
                <w:rFonts w:ascii="Arial" w:hAnsi="Arial" w:eastAsia="Arial" w:cs="Arial"/>
                <w:sz w:val="18"/>
                <w:szCs w:val="18"/>
              </w:rPr>
              <w:t xml:space="preserve">22.3h</w:t>
            </w:r>
            <w:r>
              <w:rPr>
                <w:rFonts w:ascii="Arial" w:hAnsi="Arial" w:cs="Arial"/>
                <w:sz w:val="18"/>
                <w:szCs w:val="18"/>
              </w:rPr>
            </w:r>
            <w:r>
              <w:rPr>
                <w:rFonts w:ascii="Arial" w:hAnsi="Arial" w:cs="Arial"/>
                <w:sz w:val="18"/>
                <w:szCs w:val="18"/>
              </w:rPr>
            </w:r>
          </w:p>
        </w:tc>
        <w:tc>
          <w:tcPr>
            <w:tcBorders/>
          </w:tcPr>
          <w:p w14:paraId="0153B901">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r>
      <w:tr>
        <w:trPr/>
        <w:tc>
          <w:tcPr>
            <w:tcBorders/>
          </w:tcPr>
          <w:p w14:paraId="0209EDCF">
            <w:pPr>
              <w:pStyle w:val="874"/>
              <w:pBdr/>
              <w:spacing/>
              <w:ind/>
              <w:rPr>
                <w:rFonts w:ascii="Arial" w:hAnsi="Arial" w:cs="Arial"/>
                <w:sz w:val="18"/>
                <w:szCs w:val="18"/>
              </w:rPr>
            </w:pPr>
            <w:r>
              <w:rPr>
                <w:rFonts w:ascii="Arial" w:hAnsi="Arial" w:eastAsia="Arial" w:cs="Arial"/>
                <w:sz w:val="18"/>
                <w:szCs w:val="18"/>
              </w:rPr>
              <w:t xml:space="preserve">Coire Glas</w:t>
            </w:r>
            <w:r>
              <w:rPr>
                <w:rFonts w:ascii="Arial" w:hAnsi="Arial" w:cs="Arial"/>
                <w:sz w:val="18"/>
                <w:szCs w:val="18"/>
              </w:rPr>
            </w:r>
            <w:r>
              <w:rPr>
                <w:rFonts w:ascii="Arial" w:hAnsi="Arial" w:cs="Arial"/>
                <w:sz w:val="18"/>
                <w:szCs w:val="18"/>
              </w:rPr>
            </w:r>
          </w:p>
        </w:tc>
        <w:tc>
          <w:tcPr>
            <w:tcBorders/>
          </w:tcPr>
          <w:p w14:paraId="4C575717">
            <w:pPr>
              <w:pStyle w:val="874"/>
              <w:pBdr/>
              <w:spacing/>
              <w:ind/>
              <w:rPr>
                <w:rFonts w:ascii="Arial" w:hAnsi="Arial" w:cs="Arial"/>
                <w:sz w:val="18"/>
                <w:szCs w:val="18"/>
              </w:rPr>
            </w:pPr>
            <w:r>
              <w:rPr>
                <w:rFonts w:ascii="Arial" w:hAnsi="Arial" w:eastAsia="Arial" w:cs="Arial"/>
                <w:sz w:val="18"/>
                <w:szCs w:val="18"/>
              </w:rPr>
              <w:t xml:space="preserve">PSH</w:t>
            </w:r>
            <w:r>
              <w:rPr>
                <w:rFonts w:ascii="Arial" w:hAnsi="Arial" w:cs="Arial"/>
                <w:sz w:val="18"/>
                <w:szCs w:val="18"/>
              </w:rPr>
            </w:r>
            <w:r>
              <w:rPr>
                <w:rFonts w:ascii="Arial" w:hAnsi="Arial" w:cs="Arial"/>
                <w:sz w:val="18"/>
                <w:szCs w:val="18"/>
              </w:rPr>
            </w:r>
          </w:p>
        </w:tc>
        <w:tc>
          <w:tcPr>
            <w:tcBorders/>
          </w:tcPr>
          <w:p w14:paraId="32061BD4">
            <w:pPr>
              <w:pStyle w:val="874"/>
              <w:pBdr/>
              <w:spacing/>
              <w:ind/>
              <w:rPr>
                <w:rFonts w:ascii="Arial" w:hAnsi="Arial" w:cs="Arial"/>
                <w:sz w:val="18"/>
                <w:szCs w:val="18"/>
              </w:rPr>
            </w:pPr>
            <w:r>
              <w:rPr>
                <w:rFonts w:ascii="Arial" w:hAnsi="Arial" w:eastAsia="Arial" w:cs="Arial"/>
                <w:sz w:val="18"/>
                <w:szCs w:val="18"/>
              </w:rPr>
              <w:t xml:space="preserve">North Scotland</w:t>
            </w:r>
            <w:r>
              <w:rPr>
                <w:rFonts w:ascii="Arial" w:hAnsi="Arial" w:cs="Arial"/>
                <w:sz w:val="18"/>
                <w:szCs w:val="18"/>
              </w:rPr>
            </w:r>
            <w:r>
              <w:rPr>
                <w:rFonts w:ascii="Arial" w:hAnsi="Arial" w:cs="Arial"/>
                <w:sz w:val="18"/>
                <w:szCs w:val="18"/>
              </w:rPr>
            </w:r>
          </w:p>
        </w:tc>
        <w:tc>
          <w:tcPr>
            <w:tcBorders/>
          </w:tcPr>
          <w:p w14:paraId="64EFB7D1">
            <w:pPr>
              <w:pStyle w:val="874"/>
              <w:pBdr/>
              <w:spacing/>
              <w:ind/>
              <w:jc w:val="right"/>
              <w:rPr>
                <w:rFonts w:ascii="Arial" w:hAnsi="Arial" w:cs="Arial"/>
                <w:sz w:val="18"/>
                <w:szCs w:val="18"/>
              </w:rPr>
            </w:pPr>
            <w:r>
              <w:rPr>
                <w:rFonts w:ascii="Arial" w:hAnsi="Arial" w:eastAsia="Arial" w:cs="Arial"/>
                <w:sz w:val="18"/>
                <w:szCs w:val="18"/>
              </w:rPr>
              <w:t xml:space="preserve">1,440</w:t>
            </w:r>
            <w:r>
              <w:rPr>
                <w:rFonts w:ascii="Arial" w:hAnsi="Arial" w:cs="Arial"/>
                <w:sz w:val="18"/>
                <w:szCs w:val="18"/>
              </w:rPr>
            </w:r>
            <w:r>
              <w:rPr>
                <w:rFonts w:ascii="Arial" w:hAnsi="Arial" w:cs="Arial"/>
                <w:sz w:val="18"/>
                <w:szCs w:val="18"/>
              </w:rPr>
            </w:r>
          </w:p>
        </w:tc>
        <w:tc>
          <w:tcPr>
            <w:tcBorders/>
          </w:tcPr>
          <w:p w14:paraId="19AF79C0">
            <w:pPr>
              <w:pStyle w:val="874"/>
              <w:pBdr/>
              <w:spacing/>
              <w:ind/>
              <w:jc w:val="right"/>
              <w:rPr>
                <w:rFonts w:ascii="Arial" w:hAnsi="Arial" w:cs="Arial"/>
                <w:sz w:val="18"/>
                <w:szCs w:val="18"/>
              </w:rPr>
            </w:pPr>
            <w:r>
              <w:rPr>
                <w:rFonts w:ascii="Arial" w:hAnsi="Arial" w:eastAsia="Arial" w:cs="Arial"/>
                <w:sz w:val="18"/>
                <w:szCs w:val="18"/>
              </w:rPr>
              <w:t xml:space="preserve">46,080</w:t>
            </w:r>
            <w:r>
              <w:rPr>
                <w:rFonts w:ascii="Arial" w:hAnsi="Arial" w:cs="Arial"/>
                <w:sz w:val="18"/>
                <w:szCs w:val="18"/>
              </w:rPr>
            </w:r>
            <w:r>
              <w:rPr>
                <w:rFonts w:ascii="Arial" w:hAnsi="Arial" w:cs="Arial"/>
                <w:sz w:val="18"/>
                <w:szCs w:val="18"/>
              </w:rPr>
            </w:r>
          </w:p>
        </w:tc>
        <w:tc>
          <w:tcPr>
            <w:tcBorders/>
          </w:tcPr>
          <w:p w14:paraId="2B49A14E">
            <w:pPr>
              <w:pStyle w:val="874"/>
              <w:pBdr/>
              <w:spacing/>
              <w:ind/>
              <w:jc w:val="right"/>
              <w:rPr>
                <w:rFonts w:ascii="Arial" w:hAnsi="Arial" w:cs="Arial"/>
                <w:sz w:val="18"/>
                <w:szCs w:val="18"/>
              </w:rPr>
            </w:pPr>
            <w:r>
              <w:rPr>
                <w:rFonts w:ascii="Arial" w:hAnsi="Arial" w:eastAsia="Arial" w:cs="Arial"/>
                <w:sz w:val="18"/>
                <w:szCs w:val="18"/>
              </w:rPr>
              <w:t xml:space="preserve">32.0h</w:t>
            </w:r>
            <w:r>
              <w:rPr>
                <w:rFonts w:ascii="Arial" w:hAnsi="Arial" w:cs="Arial"/>
                <w:sz w:val="18"/>
                <w:szCs w:val="18"/>
              </w:rPr>
            </w:r>
            <w:r>
              <w:rPr>
                <w:rFonts w:ascii="Arial" w:hAnsi="Arial" w:cs="Arial"/>
                <w:sz w:val="18"/>
                <w:szCs w:val="18"/>
              </w:rPr>
            </w:r>
          </w:p>
        </w:tc>
        <w:tc>
          <w:tcPr>
            <w:tcBorders/>
          </w:tcPr>
          <w:p w14:paraId="2BB7CD34">
            <w:pPr>
              <w:pStyle w:val="874"/>
              <w:pBdr/>
              <w:spacing/>
              <w:ind/>
              <w:rPr>
                <w:rFonts w:ascii="Arial" w:hAnsi="Arial" w:cs="Arial"/>
                <w:sz w:val="18"/>
                <w:szCs w:val="18"/>
              </w:rPr>
            </w:pPr>
            <w:r>
              <w:rPr>
                <w:rFonts w:ascii="Arial" w:hAnsi="Arial" w:eastAsia="Arial" w:cs="Arial"/>
                <w:sz w:val="18"/>
                <w:szCs w:val="18"/>
              </w:rPr>
              <w:t xml:space="preserve">Yes</w:t>
            </w:r>
            <w:bookmarkEnd w:id="20"/>
            <w:r>
              <w:rPr>
                <w:rFonts w:ascii="Arial" w:hAnsi="Arial" w:cs="Arial"/>
                <w:sz w:val="18"/>
                <w:szCs w:val="18"/>
              </w:rPr>
            </w:r>
            <w:r>
              <w:rPr>
                <w:rFonts w:ascii="Arial" w:hAnsi="Arial" w:cs="Arial"/>
                <w:sz w:val="18"/>
                <w:szCs w:val="18"/>
              </w:rPr>
            </w:r>
          </w:p>
        </w:tc>
      </w:tr>
    </w:tbl>
    <w:p w14:paraId="4E34B75F">
      <w:pPr>
        <w:pStyle w:val="886"/>
        <w:pBdr/>
        <w:spacing/>
        <w:ind/>
        <w:rPr>
          <w:rFonts w:ascii="Arial" w:hAnsi="Arial" w:cs="Arial"/>
          <w:sz w:val="18"/>
          <w:szCs w:val="18"/>
        </w:rPr>
      </w:pPr>
      <w:r>
        <w:rPr>
          <w:rFonts w:ascii="Arial" w:hAnsi="Arial" w:eastAsia="Arial" w:cs="Arial"/>
          <w:sz w:val="18"/>
          <w:szCs w:val="18"/>
          <w:highlight w:val="none"/>
        </w:rPr>
      </w:r>
      <w:r>
        <w:rPr>
          <w:rFonts w:ascii="Arial" w:hAnsi="Arial" w:cs="Arial"/>
          <w:sz w:val="18"/>
          <w:szCs w:val="18"/>
        </w:rPr>
      </w:r>
      <w:r>
        <w:rPr>
          <w:rFonts w:ascii="Arial" w:hAnsi="Arial" w:cs="Arial"/>
          <w:sz w:val="18"/>
          <w:szCs w:val="18"/>
        </w:rPr>
      </w:r>
    </w:p>
    <w:p w14:paraId="159B7049">
      <w:pPr>
        <w:pStyle w:val="886"/>
        <w:pBdr/>
        <w:spacing/>
        <w:ind/>
        <w:rPr>
          <w:rFonts w:ascii="Arial" w:hAnsi="Arial" w:cs="Arial"/>
          <w:sz w:val="18"/>
          <w:szCs w:val="18"/>
          <w:highlight w:val="none"/>
        </w:rPr>
      </w:pPr>
      <w:r>
        <w:rPr>
          <w:rFonts w:ascii="Arial" w:hAnsi="Arial" w:eastAsia="Arial" w:cs="Arial"/>
          <w:sz w:val="18"/>
          <w:szCs w:val="18"/>
          <w:lang w:val="en-GB" w:bidi="en-GB"/>
        </w:rPr>
      </w:r>
      <w:bookmarkStart w:id="21" w:name="c.2-modelled-cost-and-revenue-outputs"/>
      <w:r>
        <w:rPr>
          <w:rFonts w:ascii="Arial" w:hAnsi="Arial" w:eastAsia="Arial" w:cs="Arial"/>
          <w:sz w:val="18"/>
          <w:szCs w:val="18"/>
        </w:rPr>
        <w:t xml:space="preserve">C.2 Modelled Cost and Revenue Outputs</w:t>
      </w:r>
      <w:r>
        <w:rPr>
          <w:rFonts w:ascii="Arial" w:hAnsi="Arial" w:cs="Arial"/>
          <w:sz w:val="18"/>
          <w:szCs w:val="18"/>
          <w:highlight w:val="none"/>
        </w:rPr>
      </w:r>
      <w:r>
        <w:rPr>
          <w:rFonts w:ascii="Arial" w:hAnsi="Arial" w:cs="Arial"/>
          <w:sz w:val="18"/>
          <w:szCs w:val="18"/>
          <w:highlight w:val="none"/>
        </w:rPr>
      </w:r>
    </w:p>
    <w:tbl>
      <w:tblPr>
        <w:tblStyle w:val="906"/>
        <w:tblW w:w="5000" w:type="pct"/>
        <w:tblBorders/>
        <w:tblLayout w:type="fixed"/>
        <w:tblLook w:val="0020" w:firstRow="1" w:lastRow="0" w:firstColumn="0" w:lastColumn="0" w:noHBand="0" w:noVBand="0"/>
      </w:tblPr>
      <w:tblGrid>
        <w:gridCol w:w="880"/>
        <w:gridCol w:w="1173"/>
        <w:gridCol w:w="1173"/>
        <w:gridCol w:w="1173"/>
        <w:gridCol w:w="1173"/>
        <w:gridCol w:w="1173"/>
        <w:gridCol w:w="1173"/>
      </w:tblGrid>
      <w:tr>
        <w:trPr>
          <w:tblHeader/>
        </w:trPr>
        <w:tc>
          <w:tcPr>
            <w:tcBorders/>
          </w:tcPr>
          <w:p w14:paraId="26D932A5">
            <w:pPr>
              <w:pStyle w:val="874"/>
              <w:pBdr/>
              <w:spacing/>
              <w:ind/>
              <w:rPr>
                <w:rFonts w:ascii="Arial" w:hAnsi="Arial" w:cs="Arial"/>
                <w:sz w:val="18"/>
                <w:szCs w:val="18"/>
              </w:rPr>
            </w:pPr>
            <w:r>
              <w:rPr>
                <w:rFonts w:ascii="Arial" w:hAnsi="Arial" w:eastAsia="Arial" w:cs="Arial"/>
                <w:sz w:val="18"/>
                <w:szCs w:val="18"/>
              </w:rPr>
              <w:t xml:space="preserve">Project</w:t>
            </w:r>
            <w:r>
              <w:rPr>
                <w:rFonts w:ascii="Arial" w:hAnsi="Arial" w:cs="Arial"/>
                <w:sz w:val="18"/>
                <w:szCs w:val="18"/>
              </w:rPr>
            </w:r>
            <w:r>
              <w:rPr>
                <w:rFonts w:ascii="Arial" w:hAnsi="Arial" w:cs="Arial"/>
                <w:sz w:val="18"/>
                <w:szCs w:val="18"/>
              </w:rPr>
            </w:r>
          </w:p>
        </w:tc>
        <w:tc>
          <w:tcPr>
            <w:tcBorders/>
          </w:tcPr>
          <w:p w14:paraId="05B22255">
            <w:pPr>
              <w:pStyle w:val="874"/>
              <w:pBdr/>
              <w:spacing/>
              <w:ind/>
              <w:jc w:val="right"/>
              <w:rPr>
                <w:rFonts w:ascii="Arial" w:hAnsi="Arial" w:cs="Arial"/>
                <w:sz w:val="18"/>
                <w:szCs w:val="18"/>
              </w:rPr>
            </w:pPr>
            <w:r>
              <w:rPr>
                <w:rFonts w:ascii="Arial" w:hAnsi="Arial" w:eastAsia="Arial" w:cs="Arial"/>
                <w:sz w:val="18"/>
                <w:szCs w:val="18"/>
              </w:rPr>
              <w:t xml:space="preserve">Initial Capex £bn</w:t>
            </w:r>
            <w:r>
              <w:rPr>
                <w:rFonts w:ascii="Arial" w:hAnsi="Arial" w:cs="Arial"/>
                <w:sz w:val="18"/>
                <w:szCs w:val="18"/>
              </w:rPr>
            </w:r>
            <w:r>
              <w:rPr>
                <w:rFonts w:ascii="Arial" w:hAnsi="Arial" w:cs="Arial"/>
                <w:sz w:val="18"/>
                <w:szCs w:val="18"/>
              </w:rPr>
            </w:r>
          </w:p>
        </w:tc>
        <w:tc>
          <w:tcPr>
            <w:tcBorders/>
          </w:tcPr>
          <w:p w14:paraId="14BF60C7">
            <w:pPr>
              <w:pStyle w:val="874"/>
              <w:pBdr/>
              <w:spacing/>
              <w:ind/>
              <w:jc w:val="right"/>
              <w:rPr>
                <w:rFonts w:ascii="Arial" w:hAnsi="Arial" w:cs="Arial"/>
                <w:sz w:val="18"/>
                <w:szCs w:val="18"/>
              </w:rPr>
            </w:pPr>
            <w:r>
              <w:rPr>
                <w:rFonts w:ascii="Arial" w:hAnsi="Arial" w:eastAsia="Arial" w:cs="Arial"/>
                <w:sz w:val="18"/>
                <w:szCs w:val="18"/>
              </w:rPr>
              <w:t xml:space="preserve">Lifecycle Capex £bn</w:t>
            </w:r>
            <w:r>
              <w:rPr>
                <w:rFonts w:ascii="Arial" w:hAnsi="Arial" w:cs="Arial"/>
                <w:sz w:val="18"/>
                <w:szCs w:val="18"/>
              </w:rPr>
            </w:r>
            <w:r>
              <w:rPr>
                <w:rFonts w:ascii="Arial" w:hAnsi="Arial" w:cs="Arial"/>
                <w:sz w:val="18"/>
                <w:szCs w:val="18"/>
              </w:rPr>
            </w:r>
          </w:p>
        </w:tc>
        <w:tc>
          <w:tcPr>
            <w:tcBorders/>
          </w:tcPr>
          <w:p w14:paraId="045FEE34">
            <w:pPr>
              <w:pStyle w:val="874"/>
              <w:pBdr/>
              <w:spacing/>
              <w:ind/>
              <w:jc w:val="right"/>
              <w:rPr>
                <w:rFonts w:ascii="Arial" w:hAnsi="Arial" w:cs="Arial"/>
                <w:sz w:val="18"/>
                <w:szCs w:val="18"/>
              </w:rPr>
            </w:pPr>
            <w:r>
              <w:rPr>
                <w:rFonts w:ascii="Arial" w:hAnsi="Arial" w:eastAsia="Arial" w:cs="Arial"/>
                <w:sz w:val="18"/>
                <w:szCs w:val="18"/>
              </w:rPr>
              <w:t xml:space="preserve">LCOS £/MWh</w:t>
            </w:r>
            <w:r>
              <w:rPr>
                <w:rFonts w:ascii="Arial" w:hAnsi="Arial" w:cs="Arial"/>
                <w:sz w:val="18"/>
                <w:szCs w:val="18"/>
              </w:rPr>
            </w:r>
            <w:r>
              <w:rPr>
                <w:rFonts w:ascii="Arial" w:hAnsi="Arial" w:cs="Arial"/>
                <w:sz w:val="18"/>
                <w:szCs w:val="18"/>
              </w:rPr>
            </w:r>
          </w:p>
        </w:tc>
        <w:tc>
          <w:tcPr>
            <w:tcBorders/>
          </w:tcPr>
          <w:p w14:paraId="5CC3E094">
            <w:pPr>
              <w:pStyle w:val="874"/>
              <w:pBdr/>
              <w:spacing/>
              <w:ind/>
              <w:jc w:val="right"/>
              <w:rPr>
                <w:rFonts w:ascii="Arial" w:hAnsi="Arial" w:cs="Arial"/>
                <w:sz w:val="18"/>
                <w:szCs w:val="18"/>
              </w:rPr>
            </w:pPr>
            <w:r>
              <w:rPr>
                <w:rFonts w:ascii="Arial" w:hAnsi="Arial" w:eastAsia="Arial" w:cs="Arial"/>
                <w:sz w:val="18"/>
                <w:szCs w:val="18"/>
              </w:rPr>
              <w:t xml:space="preserve">Annual MWh Delivered</w:t>
            </w:r>
            <w:r>
              <w:rPr>
                <w:rFonts w:ascii="Arial" w:hAnsi="Arial" w:cs="Arial"/>
                <w:sz w:val="18"/>
                <w:szCs w:val="18"/>
              </w:rPr>
            </w:r>
            <w:r>
              <w:rPr>
                <w:rFonts w:ascii="Arial" w:hAnsi="Arial" w:cs="Arial"/>
                <w:sz w:val="18"/>
                <w:szCs w:val="18"/>
              </w:rPr>
            </w:r>
          </w:p>
        </w:tc>
        <w:tc>
          <w:tcPr>
            <w:tcBorders/>
          </w:tcPr>
          <w:p w14:paraId="30792769">
            <w:pPr>
              <w:pStyle w:val="874"/>
              <w:pBdr/>
              <w:spacing/>
              <w:ind/>
              <w:jc w:val="right"/>
              <w:rPr>
                <w:rFonts w:ascii="Arial" w:hAnsi="Arial" w:cs="Arial"/>
                <w:sz w:val="18"/>
                <w:szCs w:val="18"/>
              </w:rPr>
            </w:pPr>
            <w:r>
              <w:rPr>
                <w:rFonts w:ascii="Arial" w:hAnsi="Arial" w:eastAsia="Arial" w:cs="Arial"/>
                <w:sz w:val="18"/>
                <w:szCs w:val="18"/>
              </w:rPr>
              <w:t xml:space="preserve">Gross Revenue £m/yr</w:t>
            </w:r>
            <w:r>
              <w:rPr>
                <w:rFonts w:ascii="Arial" w:hAnsi="Arial" w:cs="Arial"/>
                <w:sz w:val="18"/>
                <w:szCs w:val="18"/>
              </w:rPr>
            </w:r>
            <w:r>
              <w:rPr>
                <w:rFonts w:ascii="Arial" w:hAnsi="Arial" w:cs="Arial"/>
                <w:sz w:val="18"/>
                <w:szCs w:val="18"/>
              </w:rPr>
            </w:r>
          </w:p>
        </w:tc>
        <w:tc>
          <w:tcPr>
            <w:tcBorders/>
          </w:tcPr>
          <w:p w14:paraId="503BE313">
            <w:pPr>
              <w:pStyle w:val="874"/>
              <w:pBdr/>
              <w:spacing/>
              <w:ind/>
              <w:jc w:val="right"/>
              <w:rPr>
                <w:rFonts w:ascii="Arial" w:hAnsi="Arial" w:cs="Arial"/>
                <w:sz w:val="18"/>
                <w:szCs w:val="18"/>
              </w:rPr>
            </w:pPr>
            <w:r>
              <w:rPr>
                <w:rFonts w:ascii="Arial" w:hAnsi="Arial" w:eastAsia="Arial" w:cs="Arial"/>
                <w:sz w:val="18"/>
                <w:szCs w:val="18"/>
              </w:rPr>
              <w:t xml:space="preserve">CM £k/MW/yr</w:t>
            </w:r>
            <w:r>
              <w:rPr>
                <w:rFonts w:ascii="Arial" w:hAnsi="Arial" w:cs="Arial"/>
                <w:sz w:val="18"/>
                <w:szCs w:val="18"/>
              </w:rPr>
            </w:r>
            <w:r>
              <w:rPr>
                <w:rFonts w:ascii="Arial" w:hAnsi="Arial" w:cs="Arial"/>
                <w:sz w:val="18"/>
                <w:szCs w:val="18"/>
              </w:rPr>
            </w:r>
          </w:p>
        </w:tc>
      </w:tr>
      <w:tr>
        <w:trPr/>
        <w:tc>
          <w:tcPr>
            <w:tcBorders/>
          </w:tcPr>
          <w:p w14:paraId="30AEB640">
            <w:pPr>
              <w:pStyle w:val="874"/>
              <w:pBdr/>
              <w:spacing/>
              <w:ind/>
              <w:rPr>
                <w:rFonts w:ascii="Arial" w:hAnsi="Arial" w:cs="Arial"/>
                <w:sz w:val="18"/>
                <w:szCs w:val="18"/>
              </w:rPr>
            </w:pPr>
            <w:r>
              <w:rPr>
                <w:rFonts w:ascii="Arial" w:hAnsi="Arial" w:eastAsia="Arial" w:cs="Arial"/>
                <w:sz w:val="18"/>
                <w:szCs w:val="18"/>
              </w:rPr>
              <w:t xml:space="preserve">TeesCAES</w:t>
            </w:r>
            <w:r>
              <w:rPr>
                <w:rFonts w:ascii="Arial" w:hAnsi="Arial" w:cs="Arial"/>
                <w:sz w:val="18"/>
                <w:szCs w:val="18"/>
              </w:rPr>
            </w:r>
            <w:r>
              <w:rPr>
                <w:rFonts w:ascii="Arial" w:hAnsi="Arial" w:cs="Arial"/>
                <w:sz w:val="18"/>
                <w:szCs w:val="18"/>
              </w:rPr>
            </w:r>
          </w:p>
        </w:tc>
        <w:tc>
          <w:tcPr>
            <w:tcBorders/>
          </w:tcPr>
          <w:p w14:paraId="39DBF1D5">
            <w:pPr>
              <w:pStyle w:val="874"/>
              <w:pBdr/>
              <w:spacing/>
              <w:ind/>
              <w:jc w:val="right"/>
              <w:rPr>
                <w:rFonts w:ascii="Arial" w:hAnsi="Arial" w:cs="Arial"/>
                <w:sz w:val="18"/>
                <w:szCs w:val="18"/>
              </w:rPr>
            </w:pPr>
            <w:r>
              <w:rPr>
                <w:rFonts w:ascii="Arial" w:hAnsi="Arial" w:eastAsia="Arial" w:cs="Arial"/>
                <w:sz w:val="18"/>
                <w:szCs w:val="18"/>
              </w:rPr>
              <w:t xml:space="preserve">0.150</w:t>
            </w:r>
            <w:r>
              <w:rPr>
                <w:rFonts w:ascii="Arial" w:hAnsi="Arial" w:cs="Arial"/>
                <w:sz w:val="18"/>
                <w:szCs w:val="18"/>
              </w:rPr>
            </w:r>
            <w:r>
              <w:rPr>
                <w:rFonts w:ascii="Arial" w:hAnsi="Arial" w:cs="Arial"/>
                <w:sz w:val="18"/>
                <w:szCs w:val="18"/>
              </w:rPr>
            </w:r>
          </w:p>
        </w:tc>
        <w:tc>
          <w:tcPr>
            <w:tcBorders/>
          </w:tcPr>
          <w:p w14:paraId="634EEE63">
            <w:pPr>
              <w:pStyle w:val="874"/>
              <w:pBdr/>
              <w:spacing/>
              <w:ind/>
              <w:jc w:val="right"/>
              <w:rPr>
                <w:rFonts w:ascii="Arial" w:hAnsi="Arial" w:cs="Arial"/>
                <w:sz w:val="18"/>
                <w:szCs w:val="18"/>
              </w:rPr>
            </w:pPr>
            <w:r>
              <w:rPr>
                <w:rFonts w:ascii="Arial" w:hAnsi="Arial" w:eastAsia="Arial" w:cs="Arial"/>
                <w:sz w:val="18"/>
                <w:szCs w:val="18"/>
              </w:rPr>
              <w:t xml:space="preserve">0.165</w:t>
            </w:r>
            <w:r>
              <w:rPr>
                <w:rFonts w:ascii="Arial" w:hAnsi="Arial" w:cs="Arial"/>
                <w:sz w:val="18"/>
                <w:szCs w:val="18"/>
              </w:rPr>
            </w:r>
            <w:r>
              <w:rPr>
                <w:rFonts w:ascii="Arial" w:hAnsi="Arial" w:cs="Arial"/>
                <w:sz w:val="18"/>
                <w:szCs w:val="18"/>
              </w:rPr>
            </w:r>
          </w:p>
        </w:tc>
        <w:tc>
          <w:tcPr>
            <w:tcBorders/>
          </w:tcPr>
          <w:p w14:paraId="71C0A4F2">
            <w:pPr>
              <w:pStyle w:val="874"/>
              <w:pBdr/>
              <w:spacing/>
              <w:ind/>
              <w:jc w:val="right"/>
              <w:rPr>
                <w:rFonts w:ascii="Arial" w:hAnsi="Arial" w:cs="Arial"/>
                <w:sz w:val="18"/>
                <w:szCs w:val="18"/>
              </w:rPr>
            </w:pPr>
            <w:r>
              <w:rPr>
                <w:rFonts w:ascii="Arial" w:hAnsi="Arial" w:eastAsia="Arial" w:cs="Arial"/>
                <w:sz w:val="18"/>
                <w:szCs w:val="18"/>
              </w:rPr>
              <w:t xml:space="preserve">85.1</w:t>
            </w:r>
            <w:r>
              <w:rPr>
                <w:rFonts w:ascii="Arial" w:hAnsi="Arial" w:cs="Arial"/>
                <w:sz w:val="18"/>
                <w:szCs w:val="18"/>
              </w:rPr>
            </w:r>
            <w:r>
              <w:rPr>
                <w:rFonts w:ascii="Arial" w:hAnsi="Arial" w:cs="Arial"/>
                <w:sz w:val="18"/>
                <w:szCs w:val="18"/>
              </w:rPr>
            </w:r>
          </w:p>
        </w:tc>
        <w:tc>
          <w:tcPr>
            <w:tcBorders/>
          </w:tcPr>
          <w:p w14:paraId="19C9A92D">
            <w:pPr>
              <w:pStyle w:val="874"/>
              <w:pBdr/>
              <w:spacing/>
              <w:ind/>
              <w:jc w:val="right"/>
              <w:rPr>
                <w:rFonts w:ascii="Arial" w:hAnsi="Arial" w:cs="Arial"/>
                <w:sz w:val="18"/>
                <w:szCs w:val="18"/>
              </w:rPr>
            </w:pPr>
            <w:r>
              <w:rPr>
                <w:rFonts w:ascii="Arial" w:hAnsi="Arial" w:eastAsia="Arial" w:cs="Arial"/>
                <w:sz w:val="18"/>
                <w:szCs w:val="18"/>
              </w:rPr>
              <w:t xml:space="preserve">173,217</w:t>
            </w:r>
            <w:r>
              <w:rPr>
                <w:rFonts w:ascii="Arial" w:hAnsi="Arial" w:cs="Arial"/>
                <w:sz w:val="18"/>
                <w:szCs w:val="18"/>
              </w:rPr>
            </w:r>
            <w:r>
              <w:rPr>
                <w:rFonts w:ascii="Arial" w:hAnsi="Arial" w:cs="Arial"/>
                <w:sz w:val="18"/>
                <w:szCs w:val="18"/>
              </w:rPr>
            </w:r>
          </w:p>
        </w:tc>
        <w:tc>
          <w:tcPr>
            <w:tcBorders/>
          </w:tcPr>
          <w:p w14:paraId="4DC4F484">
            <w:pPr>
              <w:pStyle w:val="874"/>
              <w:pBdr/>
              <w:spacing/>
              <w:ind/>
              <w:jc w:val="right"/>
              <w:rPr>
                <w:rFonts w:ascii="Arial" w:hAnsi="Arial" w:cs="Arial"/>
                <w:sz w:val="18"/>
                <w:szCs w:val="18"/>
              </w:rPr>
            </w:pPr>
            <w:r>
              <w:rPr>
                <w:rFonts w:ascii="Arial" w:hAnsi="Arial" w:eastAsia="Arial" w:cs="Arial"/>
                <w:sz w:val="18"/>
                <w:szCs w:val="18"/>
              </w:rPr>
              <w:t xml:space="preserve">8.45</w:t>
            </w:r>
            <w:r>
              <w:rPr>
                <w:rFonts w:ascii="Arial" w:hAnsi="Arial" w:cs="Arial"/>
                <w:sz w:val="18"/>
                <w:szCs w:val="18"/>
              </w:rPr>
            </w:r>
            <w:r>
              <w:rPr>
                <w:rFonts w:ascii="Arial" w:hAnsi="Arial" w:cs="Arial"/>
                <w:sz w:val="18"/>
                <w:szCs w:val="18"/>
              </w:rPr>
            </w:r>
          </w:p>
        </w:tc>
        <w:tc>
          <w:tcPr>
            <w:tcBorders/>
          </w:tcPr>
          <w:p w14:paraId="06FA9E49">
            <w:pPr>
              <w:pStyle w:val="874"/>
              <w:pBdr/>
              <w:spacing/>
              <w:ind/>
              <w:jc w:val="right"/>
              <w:rPr>
                <w:rFonts w:ascii="Arial" w:hAnsi="Arial" w:cs="Arial"/>
                <w:sz w:val="18"/>
                <w:szCs w:val="18"/>
              </w:rPr>
            </w:pPr>
            <w:r>
              <w:rPr>
                <w:rFonts w:ascii="Arial" w:hAnsi="Arial" w:eastAsia="Arial" w:cs="Arial"/>
                <w:sz w:val="18"/>
                <w:szCs w:val="18"/>
              </w:rPr>
              <w:t xml:space="preserve">80</w:t>
            </w:r>
            <w:r>
              <w:rPr>
                <w:rFonts w:ascii="Arial" w:hAnsi="Arial" w:cs="Arial"/>
                <w:sz w:val="18"/>
                <w:szCs w:val="18"/>
              </w:rPr>
            </w:r>
            <w:r>
              <w:rPr>
                <w:rFonts w:ascii="Arial" w:hAnsi="Arial" w:cs="Arial"/>
                <w:sz w:val="18"/>
                <w:szCs w:val="18"/>
              </w:rPr>
            </w:r>
          </w:p>
        </w:tc>
      </w:tr>
      <w:tr>
        <w:trPr/>
        <w:tc>
          <w:tcPr>
            <w:tcBorders/>
          </w:tcPr>
          <w:p w14:paraId="58476DD4">
            <w:pPr>
              <w:pStyle w:val="874"/>
              <w:pBdr/>
              <w:spacing/>
              <w:ind/>
              <w:rPr>
                <w:rFonts w:ascii="Arial" w:hAnsi="Arial" w:cs="Arial"/>
                <w:sz w:val="18"/>
                <w:szCs w:val="18"/>
              </w:rPr>
            </w:pPr>
            <w:r>
              <w:rPr>
                <w:rFonts w:ascii="Arial" w:hAnsi="Arial" w:eastAsia="Arial" w:cs="Arial"/>
                <w:sz w:val="18"/>
                <w:szCs w:val="18"/>
              </w:rPr>
              <w:t xml:space="preserve">Frontier Legacy</w:t>
            </w:r>
            <w:r>
              <w:rPr>
                <w:rFonts w:ascii="Arial" w:hAnsi="Arial" w:cs="Arial"/>
                <w:sz w:val="18"/>
                <w:szCs w:val="18"/>
              </w:rPr>
            </w:r>
            <w:r>
              <w:rPr>
                <w:rFonts w:ascii="Arial" w:hAnsi="Arial" w:cs="Arial"/>
                <w:sz w:val="18"/>
                <w:szCs w:val="18"/>
              </w:rPr>
            </w:r>
          </w:p>
        </w:tc>
        <w:tc>
          <w:tcPr>
            <w:tcBorders/>
          </w:tcPr>
          <w:p w14:paraId="0BF63CC2">
            <w:pPr>
              <w:pStyle w:val="874"/>
              <w:pBdr/>
              <w:spacing/>
              <w:ind/>
              <w:jc w:val="right"/>
              <w:rPr>
                <w:rFonts w:ascii="Arial" w:hAnsi="Arial" w:cs="Arial"/>
                <w:sz w:val="18"/>
                <w:szCs w:val="18"/>
              </w:rPr>
            </w:pPr>
            <w:r>
              <w:rPr>
                <w:rFonts w:ascii="Arial" w:hAnsi="Arial" w:eastAsia="Arial" w:cs="Arial"/>
                <w:sz w:val="18"/>
                <w:szCs w:val="18"/>
              </w:rPr>
              <w:t xml:space="preserve">0.123</w:t>
            </w:r>
            <w:r>
              <w:rPr>
                <w:rFonts w:ascii="Arial" w:hAnsi="Arial" w:cs="Arial"/>
                <w:sz w:val="18"/>
                <w:szCs w:val="18"/>
              </w:rPr>
            </w:r>
            <w:r>
              <w:rPr>
                <w:rFonts w:ascii="Arial" w:hAnsi="Arial" w:cs="Arial"/>
                <w:sz w:val="18"/>
                <w:szCs w:val="18"/>
              </w:rPr>
            </w:r>
          </w:p>
        </w:tc>
        <w:tc>
          <w:tcPr>
            <w:tcBorders/>
          </w:tcPr>
          <w:p w14:paraId="36C561E8">
            <w:pPr>
              <w:pStyle w:val="874"/>
              <w:pBdr/>
              <w:spacing/>
              <w:ind/>
              <w:jc w:val="right"/>
              <w:rPr>
                <w:rFonts w:ascii="Arial" w:hAnsi="Arial" w:cs="Arial"/>
                <w:sz w:val="18"/>
                <w:szCs w:val="18"/>
              </w:rPr>
            </w:pPr>
            <w:r>
              <w:rPr>
                <w:rFonts w:ascii="Arial" w:hAnsi="Arial" w:eastAsia="Arial" w:cs="Arial"/>
                <w:sz w:val="18"/>
                <w:szCs w:val="18"/>
              </w:rPr>
              <w:t xml:space="preserve">0.166</w:t>
            </w:r>
            <w:r>
              <w:rPr>
                <w:rFonts w:ascii="Arial" w:hAnsi="Arial" w:cs="Arial"/>
                <w:sz w:val="18"/>
                <w:szCs w:val="18"/>
              </w:rPr>
            </w:r>
            <w:r>
              <w:rPr>
                <w:rFonts w:ascii="Arial" w:hAnsi="Arial" w:cs="Arial"/>
                <w:sz w:val="18"/>
                <w:szCs w:val="18"/>
              </w:rPr>
            </w:r>
          </w:p>
        </w:tc>
        <w:tc>
          <w:tcPr>
            <w:tcBorders/>
          </w:tcPr>
          <w:p w14:paraId="072001AF">
            <w:pPr>
              <w:pStyle w:val="874"/>
              <w:pBdr/>
              <w:spacing/>
              <w:ind/>
              <w:jc w:val="right"/>
              <w:rPr>
                <w:rFonts w:ascii="Arial" w:hAnsi="Arial" w:cs="Arial"/>
                <w:sz w:val="18"/>
                <w:szCs w:val="18"/>
              </w:rPr>
            </w:pPr>
            <w:r>
              <w:rPr>
                <w:rFonts w:ascii="Arial" w:hAnsi="Arial" w:eastAsia="Arial" w:cs="Arial"/>
                <w:sz w:val="18"/>
                <w:szCs w:val="18"/>
              </w:rPr>
              <w:t xml:space="preserve">120.5</w:t>
            </w:r>
            <w:r>
              <w:rPr>
                <w:rFonts w:ascii="Arial" w:hAnsi="Arial" w:cs="Arial"/>
                <w:sz w:val="18"/>
                <w:szCs w:val="18"/>
              </w:rPr>
            </w:r>
            <w:r>
              <w:rPr>
                <w:rFonts w:ascii="Arial" w:hAnsi="Arial" w:cs="Arial"/>
                <w:sz w:val="18"/>
                <w:szCs w:val="18"/>
              </w:rPr>
            </w:r>
          </w:p>
        </w:tc>
        <w:tc>
          <w:tcPr>
            <w:tcBorders/>
          </w:tcPr>
          <w:p w14:paraId="58EE3594">
            <w:pPr>
              <w:pStyle w:val="874"/>
              <w:pBdr/>
              <w:spacing/>
              <w:ind/>
              <w:jc w:val="right"/>
              <w:rPr>
                <w:rFonts w:ascii="Arial" w:hAnsi="Arial" w:cs="Arial"/>
                <w:sz w:val="18"/>
                <w:szCs w:val="18"/>
              </w:rPr>
            </w:pPr>
            <w:r>
              <w:rPr>
                <w:rFonts w:ascii="Arial" w:hAnsi="Arial" w:eastAsia="Arial" w:cs="Arial"/>
                <w:sz w:val="18"/>
                <w:szCs w:val="18"/>
              </w:rPr>
              <w:t xml:space="preserve">142,350</w:t>
            </w:r>
            <w:r>
              <w:rPr>
                <w:rFonts w:ascii="Arial" w:hAnsi="Arial" w:cs="Arial"/>
                <w:sz w:val="18"/>
                <w:szCs w:val="18"/>
              </w:rPr>
            </w:r>
            <w:r>
              <w:rPr>
                <w:rFonts w:ascii="Arial" w:hAnsi="Arial" w:cs="Arial"/>
                <w:sz w:val="18"/>
                <w:szCs w:val="18"/>
              </w:rPr>
            </w:r>
          </w:p>
        </w:tc>
        <w:tc>
          <w:tcPr>
            <w:tcBorders/>
          </w:tcPr>
          <w:p w14:paraId="6BE8F161">
            <w:pPr>
              <w:pStyle w:val="874"/>
              <w:pBdr/>
              <w:spacing/>
              <w:ind/>
              <w:jc w:val="right"/>
              <w:rPr>
                <w:rFonts w:ascii="Arial" w:hAnsi="Arial" w:cs="Arial"/>
                <w:sz w:val="18"/>
                <w:szCs w:val="18"/>
              </w:rPr>
            </w:pPr>
            <w:r>
              <w:rPr>
                <w:rFonts w:ascii="Arial" w:hAnsi="Arial" w:eastAsia="Arial" w:cs="Arial"/>
                <w:sz w:val="18"/>
                <w:szCs w:val="18"/>
              </w:rPr>
              <w:t xml:space="preserve">11.02</w:t>
            </w:r>
            <w:r>
              <w:rPr>
                <w:rFonts w:ascii="Arial" w:hAnsi="Arial" w:cs="Arial"/>
                <w:sz w:val="18"/>
                <w:szCs w:val="18"/>
              </w:rPr>
            </w:r>
            <w:r>
              <w:rPr>
                <w:rFonts w:ascii="Arial" w:hAnsi="Arial" w:cs="Arial"/>
                <w:sz w:val="18"/>
                <w:szCs w:val="18"/>
              </w:rPr>
            </w:r>
          </w:p>
        </w:tc>
        <w:tc>
          <w:tcPr>
            <w:tcBorders/>
          </w:tcPr>
          <w:p w14:paraId="12A969D1">
            <w:pPr>
              <w:pStyle w:val="874"/>
              <w:pBdr/>
              <w:spacing/>
              <w:ind/>
              <w:jc w:val="right"/>
              <w:rPr>
                <w:rFonts w:ascii="Arial" w:hAnsi="Arial" w:cs="Arial"/>
                <w:sz w:val="18"/>
                <w:szCs w:val="18"/>
              </w:rPr>
            </w:pPr>
            <w:r>
              <w:rPr>
                <w:rFonts w:ascii="Arial" w:hAnsi="Arial" w:eastAsia="Arial" w:cs="Arial"/>
                <w:sz w:val="18"/>
                <w:szCs w:val="18"/>
              </w:rPr>
              <w:t xml:space="preserve">40</w:t>
            </w:r>
            <w:r>
              <w:rPr>
                <w:rFonts w:ascii="Arial" w:hAnsi="Arial" w:cs="Arial"/>
                <w:sz w:val="18"/>
                <w:szCs w:val="18"/>
              </w:rPr>
            </w:r>
            <w:r>
              <w:rPr>
                <w:rFonts w:ascii="Arial" w:hAnsi="Arial" w:cs="Arial"/>
                <w:sz w:val="18"/>
                <w:szCs w:val="18"/>
              </w:rPr>
            </w:r>
          </w:p>
        </w:tc>
      </w:tr>
      <w:tr>
        <w:trPr/>
        <w:tc>
          <w:tcPr>
            <w:tcBorders/>
          </w:tcPr>
          <w:p w14:paraId="39089911">
            <w:pPr>
              <w:pStyle w:val="874"/>
              <w:pBdr/>
              <w:spacing/>
              <w:ind/>
              <w:rPr>
                <w:rFonts w:ascii="Arial" w:hAnsi="Arial" w:cs="Arial"/>
                <w:sz w:val="18"/>
                <w:szCs w:val="18"/>
              </w:rPr>
            </w:pPr>
            <w:r>
              <w:rPr>
                <w:rFonts w:ascii="Arial" w:hAnsi="Arial" w:eastAsia="Arial" w:cs="Arial"/>
                <w:sz w:val="18"/>
                <w:szCs w:val="18"/>
              </w:rPr>
              <w:t xml:space="preserve">Ocker Hill BESS</w:t>
            </w:r>
            <w:r>
              <w:rPr>
                <w:rFonts w:ascii="Arial" w:hAnsi="Arial" w:cs="Arial"/>
                <w:sz w:val="18"/>
                <w:szCs w:val="18"/>
              </w:rPr>
            </w:r>
            <w:r>
              <w:rPr>
                <w:rFonts w:ascii="Arial" w:hAnsi="Arial" w:cs="Arial"/>
                <w:sz w:val="18"/>
                <w:szCs w:val="18"/>
              </w:rPr>
            </w:r>
          </w:p>
        </w:tc>
        <w:tc>
          <w:tcPr>
            <w:tcBorders/>
          </w:tcPr>
          <w:p w14:paraId="067CB94B">
            <w:pPr>
              <w:pStyle w:val="874"/>
              <w:pBdr/>
              <w:spacing/>
              <w:ind/>
              <w:jc w:val="right"/>
              <w:rPr>
                <w:rFonts w:ascii="Arial" w:hAnsi="Arial" w:cs="Arial"/>
                <w:sz w:val="18"/>
                <w:szCs w:val="18"/>
              </w:rPr>
            </w:pPr>
            <w:r>
              <w:rPr>
                <w:rFonts w:ascii="Arial" w:hAnsi="Arial" w:eastAsia="Arial" w:cs="Arial"/>
                <w:sz w:val="18"/>
                <w:szCs w:val="18"/>
              </w:rPr>
              <w:t xml:space="preserve">0.341</w:t>
            </w:r>
            <w:r>
              <w:rPr>
                <w:rFonts w:ascii="Arial" w:hAnsi="Arial" w:cs="Arial"/>
                <w:sz w:val="18"/>
                <w:szCs w:val="18"/>
              </w:rPr>
            </w:r>
            <w:r>
              <w:rPr>
                <w:rFonts w:ascii="Arial" w:hAnsi="Arial" w:cs="Arial"/>
                <w:sz w:val="18"/>
                <w:szCs w:val="18"/>
              </w:rPr>
            </w:r>
          </w:p>
        </w:tc>
        <w:tc>
          <w:tcPr>
            <w:tcBorders/>
          </w:tcPr>
          <w:p w14:paraId="0A923DEB">
            <w:pPr>
              <w:pStyle w:val="874"/>
              <w:pBdr/>
              <w:spacing/>
              <w:ind/>
              <w:jc w:val="right"/>
              <w:rPr>
                <w:rFonts w:ascii="Arial" w:hAnsi="Arial" w:cs="Arial"/>
                <w:sz w:val="18"/>
                <w:szCs w:val="18"/>
              </w:rPr>
            </w:pPr>
            <w:r>
              <w:rPr>
                <w:rFonts w:ascii="Arial" w:hAnsi="Arial" w:eastAsia="Arial" w:cs="Arial"/>
                <w:sz w:val="18"/>
                <w:szCs w:val="18"/>
              </w:rPr>
              <w:t xml:space="preserve">0.579</w:t>
            </w:r>
            <w:r>
              <w:rPr>
                <w:rFonts w:ascii="Arial" w:hAnsi="Arial" w:cs="Arial"/>
                <w:sz w:val="18"/>
                <w:szCs w:val="18"/>
              </w:rPr>
            </w:r>
            <w:r>
              <w:rPr>
                <w:rFonts w:ascii="Arial" w:hAnsi="Arial" w:cs="Arial"/>
                <w:sz w:val="18"/>
                <w:szCs w:val="18"/>
              </w:rPr>
            </w:r>
          </w:p>
        </w:tc>
        <w:tc>
          <w:tcPr>
            <w:tcBorders/>
          </w:tcPr>
          <w:p w14:paraId="2C13DA3B">
            <w:pPr>
              <w:pStyle w:val="874"/>
              <w:pBdr/>
              <w:spacing/>
              <w:ind/>
              <w:jc w:val="right"/>
              <w:rPr>
                <w:rFonts w:ascii="Arial" w:hAnsi="Arial" w:cs="Arial"/>
                <w:sz w:val="18"/>
                <w:szCs w:val="18"/>
              </w:rPr>
            </w:pPr>
            <w:r>
              <w:rPr>
                <w:rFonts w:ascii="Arial" w:hAnsi="Arial" w:eastAsia="Arial" w:cs="Arial"/>
                <w:sz w:val="18"/>
                <w:szCs w:val="18"/>
              </w:rPr>
              <w:t xml:space="preserve">142.9</w:t>
            </w:r>
            <w:r>
              <w:rPr>
                <w:rFonts w:ascii="Arial" w:hAnsi="Arial" w:cs="Arial"/>
                <w:sz w:val="18"/>
                <w:szCs w:val="18"/>
              </w:rPr>
            </w:r>
            <w:r>
              <w:rPr>
                <w:rFonts w:ascii="Arial" w:hAnsi="Arial" w:cs="Arial"/>
                <w:sz w:val="18"/>
                <w:szCs w:val="18"/>
              </w:rPr>
            </w:r>
          </w:p>
        </w:tc>
        <w:tc>
          <w:tcPr>
            <w:tcBorders/>
          </w:tcPr>
          <w:p w14:paraId="6FA62DEF">
            <w:pPr>
              <w:pStyle w:val="874"/>
              <w:pBdr/>
              <w:spacing/>
              <w:ind/>
              <w:jc w:val="right"/>
              <w:rPr>
                <w:rFonts w:ascii="Arial" w:hAnsi="Arial" w:cs="Arial"/>
                <w:sz w:val="18"/>
                <w:szCs w:val="18"/>
              </w:rPr>
            </w:pPr>
            <w:r>
              <w:rPr>
                <w:rFonts w:ascii="Arial" w:hAnsi="Arial" w:eastAsia="Arial" w:cs="Arial"/>
                <w:sz w:val="18"/>
                <w:szCs w:val="18"/>
              </w:rPr>
              <w:t xml:space="preserve">370,475</w:t>
            </w:r>
            <w:r>
              <w:rPr>
                <w:rFonts w:ascii="Arial" w:hAnsi="Arial" w:cs="Arial"/>
                <w:sz w:val="18"/>
                <w:szCs w:val="18"/>
              </w:rPr>
            </w:r>
            <w:r>
              <w:rPr>
                <w:rFonts w:ascii="Arial" w:hAnsi="Arial" w:cs="Arial"/>
                <w:sz w:val="18"/>
                <w:szCs w:val="18"/>
              </w:rPr>
            </w:r>
          </w:p>
        </w:tc>
        <w:tc>
          <w:tcPr>
            <w:tcBorders/>
          </w:tcPr>
          <w:p w14:paraId="0B9DB15D">
            <w:pPr>
              <w:pStyle w:val="874"/>
              <w:pBdr/>
              <w:spacing/>
              <w:ind/>
              <w:jc w:val="right"/>
              <w:rPr>
                <w:rFonts w:ascii="Arial" w:hAnsi="Arial" w:cs="Arial"/>
                <w:sz w:val="18"/>
                <w:szCs w:val="18"/>
              </w:rPr>
            </w:pPr>
            <w:r>
              <w:rPr>
                <w:rFonts w:ascii="Arial" w:hAnsi="Arial" w:eastAsia="Arial" w:cs="Arial"/>
                <w:sz w:val="18"/>
                <w:szCs w:val="18"/>
              </w:rPr>
              <w:t xml:space="preserve">29.47</w:t>
            </w:r>
            <w:r>
              <w:rPr>
                <w:rFonts w:ascii="Arial" w:hAnsi="Arial" w:cs="Arial"/>
                <w:sz w:val="18"/>
                <w:szCs w:val="18"/>
              </w:rPr>
            </w:r>
            <w:r>
              <w:rPr>
                <w:rFonts w:ascii="Arial" w:hAnsi="Arial" w:cs="Arial"/>
                <w:sz w:val="18"/>
                <w:szCs w:val="18"/>
              </w:rPr>
            </w:r>
          </w:p>
        </w:tc>
        <w:tc>
          <w:tcPr>
            <w:tcBorders/>
          </w:tcPr>
          <w:p w14:paraId="1F5422A2">
            <w:pPr>
              <w:pStyle w:val="874"/>
              <w:pBdr/>
              <w:spacing/>
              <w:ind/>
              <w:jc w:val="right"/>
              <w:rPr>
                <w:rFonts w:ascii="Arial" w:hAnsi="Arial" w:cs="Arial"/>
                <w:sz w:val="18"/>
                <w:szCs w:val="18"/>
              </w:rPr>
            </w:pPr>
            <w:r>
              <w:rPr>
                <w:rFonts w:ascii="Arial" w:hAnsi="Arial" w:eastAsia="Arial" w:cs="Arial"/>
                <w:sz w:val="18"/>
                <w:szCs w:val="18"/>
              </w:rPr>
              <w:t xml:space="preserve">40</w:t>
            </w:r>
            <w:r>
              <w:rPr>
                <w:rFonts w:ascii="Arial" w:hAnsi="Arial" w:cs="Arial"/>
                <w:sz w:val="18"/>
                <w:szCs w:val="18"/>
              </w:rPr>
            </w:r>
            <w:r>
              <w:rPr>
                <w:rFonts w:ascii="Arial" w:hAnsi="Arial" w:cs="Arial"/>
                <w:sz w:val="18"/>
                <w:szCs w:val="18"/>
              </w:rPr>
            </w:r>
          </w:p>
        </w:tc>
      </w:tr>
      <w:tr>
        <w:trPr/>
        <w:tc>
          <w:tcPr>
            <w:tcBorders/>
          </w:tcPr>
          <w:p w14:paraId="7CCD89DE">
            <w:pPr>
              <w:pStyle w:val="874"/>
              <w:pBdr/>
              <w:spacing/>
              <w:ind/>
              <w:rPr>
                <w:rFonts w:ascii="Arial" w:hAnsi="Arial" w:cs="Arial"/>
                <w:sz w:val="18"/>
                <w:szCs w:val="18"/>
              </w:rPr>
            </w:pPr>
            <w:r>
              <w:rPr>
                <w:rFonts w:ascii="Arial" w:hAnsi="Arial" w:eastAsia="Arial" w:cs="Arial"/>
                <w:sz w:val="18"/>
                <w:szCs w:val="18"/>
              </w:rPr>
              <w:t xml:space="preserve">Sundon Storage</w:t>
            </w:r>
            <w:r>
              <w:rPr>
                <w:rFonts w:ascii="Arial" w:hAnsi="Arial" w:cs="Arial"/>
                <w:sz w:val="18"/>
                <w:szCs w:val="18"/>
              </w:rPr>
            </w:r>
            <w:r>
              <w:rPr>
                <w:rFonts w:ascii="Arial" w:hAnsi="Arial" w:cs="Arial"/>
                <w:sz w:val="18"/>
                <w:szCs w:val="18"/>
              </w:rPr>
            </w:r>
          </w:p>
        </w:tc>
        <w:tc>
          <w:tcPr>
            <w:tcBorders/>
          </w:tcPr>
          <w:p w14:paraId="76F97B0C">
            <w:pPr>
              <w:pStyle w:val="874"/>
              <w:pBdr/>
              <w:spacing/>
              <w:ind/>
              <w:jc w:val="right"/>
              <w:rPr>
                <w:rFonts w:ascii="Arial" w:hAnsi="Arial" w:cs="Arial"/>
                <w:sz w:val="18"/>
                <w:szCs w:val="18"/>
              </w:rPr>
            </w:pPr>
            <w:r>
              <w:rPr>
                <w:rFonts w:ascii="Arial" w:hAnsi="Arial" w:eastAsia="Arial" w:cs="Arial"/>
                <w:sz w:val="18"/>
                <w:szCs w:val="18"/>
              </w:rPr>
              <w:t xml:space="preserve">1.175</w:t>
            </w:r>
            <w:r>
              <w:rPr>
                <w:rFonts w:ascii="Arial" w:hAnsi="Arial" w:cs="Arial"/>
                <w:sz w:val="18"/>
                <w:szCs w:val="18"/>
              </w:rPr>
            </w:r>
            <w:r>
              <w:rPr>
                <w:rFonts w:ascii="Arial" w:hAnsi="Arial" w:cs="Arial"/>
                <w:sz w:val="18"/>
                <w:szCs w:val="18"/>
              </w:rPr>
            </w:r>
          </w:p>
        </w:tc>
        <w:tc>
          <w:tcPr>
            <w:tcBorders/>
          </w:tcPr>
          <w:p w14:paraId="08E67B51">
            <w:pPr>
              <w:pStyle w:val="874"/>
              <w:pBdr/>
              <w:spacing/>
              <w:ind/>
              <w:jc w:val="right"/>
              <w:rPr>
                <w:rFonts w:ascii="Arial" w:hAnsi="Arial" w:cs="Arial"/>
                <w:sz w:val="18"/>
                <w:szCs w:val="18"/>
              </w:rPr>
            </w:pPr>
            <w:r>
              <w:rPr>
                <w:rFonts w:ascii="Arial" w:hAnsi="Arial" w:eastAsia="Arial" w:cs="Arial"/>
                <w:sz w:val="18"/>
                <w:szCs w:val="18"/>
              </w:rPr>
              <w:t xml:space="preserve">1.998</w:t>
            </w:r>
            <w:r>
              <w:rPr>
                <w:rFonts w:ascii="Arial" w:hAnsi="Arial" w:cs="Arial"/>
                <w:sz w:val="18"/>
                <w:szCs w:val="18"/>
              </w:rPr>
            </w:r>
            <w:r>
              <w:rPr>
                <w:rFonts w:ascii="Arial" w:hAnsi="Arial" w:cs="Arial"/>
                <w:sz w:val="18"/>
                <w:szCs w:val="18"/>
              </w:rPr>
            </w:r>
          </w:p>
        </w:tc>
        <w:tc>
          <w:tcPr>
            <w:tcBorders/>
          </w:tcPr>
          <w:p w14:paraId="67D638CC">
            <w:pPr>
              <w:pStyle w:val="874"/>
              <w:pBdr/>
              <w:spacing/>
              <w:ind/>
              <w:jc w:val="right"/>
              <w:rPr>
                <w:rFonts w:ascii="Arial" w:hAnsi="Arial" w:cs="Arial"/>
                <w:sz w:val="18"/>
                <w:szCs w:val="18"/>
              </w:rPr>
            </w:pPr>
            <w:r>
              <w:rPr>
                <w:rFonts w:ascii="Arial" w:hAnsi="Arial" w:eastAsia="Arial" w:cs="Arial"/>
                <w:sz w:val="18"/>
                <w:szCs w:val="18"/>
              </w:rPr>
              <w:t xml:space="preserve">142.9</w:t>
            </w:r>
            <w:r>
              <w:rPr>
                <w:rFonts w:ascii="Arial" w:hAnsi="Arial" w:cs="Arial"/>
                <w:sz w:val="18"/>
                <w:szCs w:val="18"/>
              </w:rPr>
            </w:r>
            <w:r>
              <w:rPr>
                <w:rFonts w:ascii="Arial" w:hAnsi="Arial" w:cs="Arial"/>
                <w:sz w:val="18"/>
                <w:szCs w:val="18"/>
              </w:rPr>
            </w:r>
          </w:p>
        </w:tc>
        <w:tc>
          <w:tcPr>
            <w:tcBorders/>
          </w:tcPr>
          <w:p w14:paraId="69C0EECB">
            <w:pPr>
              <w:pStyle w:val="874"/>
              <w:pBdr/>
              <w:spacing/>
              <w:ind/>
              <w:jc w:val="right"/>
              <w:rPr>
                <w:rFonts w:ascii="Arial" w:hAnsi="Arial" w:cs="Arial"/>
                <w:sz w:val="18"/>
                <w:szCs w:val="18"/>
              </w:rPr>
            </w:pPr>
            <w:r>
              <w:rPr>
                <w:rFonts w:ascii="Arial" w:hAnsi="Arial" w:eastAsia="Arial" w:cs="Arial"/>
                <w:sz w:val="18"/>
                <w:szCs w:val="18"/>
              </w:rPr>
              <w:t xml:space="preserve">1,277,500</w:t>
            </w:r>
            <w:r>
              <w:rPr>
                <w:rFonts w:ascii="Arial" w:hAnsi="Arial" w:cs="Arial"/>
                <w:sz w:val="18"/>
                <w:szCs w:val="18"/>
              </w:rPr>
            </w:r>
            <w:r>
              <w:rPr>
                <w:rFonts w:ascii="Arial" w:hAnsi="Arial" w:cs="Arial"/>
                <w:sz w:val="18"/>
                <w:szCs w:val="18"/>
              </w:rPr>
            </w:r>
          </w:p>
        </w:tc>
        <w:tc>
          <w:tcPr>
            <w:tcBorders/>
          </w:tcPr>
          <w:p w14:paraId="671EEF5D">
            <w:pPr>
              <w:pStyle w:val="874"/>
              <w:pBdr/>
              <w:spacing/>
              <w:ind/>
              <w:jc w:val="right"/>
              <w:rPr>
                <w:rFonts w:ascii="Arial" w:hAnsi="Arial" w:cs="Arial"/>
                <w:sz w:val="18"/>
                <w:szCs w:val="18"/>
              </w:rPr>
            </w:pPr>
            <w:r>
              <w:rPr>
                <w:rFonts w:ascii="Arial" w:hAnsi="Arial" w:eastAsia="Arial" w:cs="Arial"/>
                <w:sz w:val="18"/>
                <w:szCs w:val="18"/>
              </w:rPr>
              <w:t xml:space="preserve">101.61</w:t>
            </w:r>
            <w:r>
              <w:rPr>
                <w:rFonts w:ascii="Arial" w:hAnsi="Arial" w:cs="Arial"/>
                <w:sz w:val="18"/>
                <w:szCs w:val="18"/>
              </w:rPr>
            </w:r>
            <w:r>
              <w:rPr>
                <w:rFonts w:ascii="Arial" w:hAnsi="Arial" w:cs="Arial"/>
                <w:sz w:val="18"/>
                <w:szCs w:val="18"/>
              </w:rPr>
            </w:r>
          </w:p>
        </w:tc>
        <w:tc>
          <w:tcPr>
            <w:tcBorders/>
          </w:tcPr>
          <w:p w14:paraId="0B72BC7B">
            <w:pPr>
              <w:pStyle w:val="874"/>
              <w:pBdr/>
              <w:spacing/>
              <w:ind/>
              <w:jc w:val="right"/>
              <w:rPr>
                <w:rFonts w:ascii="Arial" w:hAnsi="Arial" w:cs="Arial"/>
                <w:sz w:val="18"/>
                <w:szCs w:val="18"/>
              </w:rPr>
            </w:pPr>
            <w:r>
              <w:rPr>
                <w:rFonts w:ascii="Arial" w:hAnsi="Arial" w:eastAsia="Arial" w:cs="Arial"/>
                <w:sz w:val="18"/>
                <w:szCs w:val="18"/>
              </w:rPr>
              <w:t xml:space="preserve">40</w:t>
            </w:r>
            <w:r>
              <w:rPr>
                <w:rFonts w:ascii="Arial" w:hAnsi="Arial" w:cs="Arial"/>
                <w:sz w:val="18"/>
                <w:szCs w:val="18"/>
              </w:rPr>
            </w:r>
            <w:r>
              <w:rPr>
                <w:rFonts w:ascii="Arial" w:hAnsi="Arial" w:cs="Arial"/>
                <w:sz w:val="18"/>
                <w:szCs w:val="18"/>
              </w:rPr>
            </w:r>
          </w:p>
        </w:tc>
      </w:tr>
      <w:tr>
        <w:trPr/>
        <w:tc>
          <w:tcPr>
            <w:tcBorders/>
          </w:tcPr>
          <w:p w14:paraId="29086219">
            <w:pPr>
              <w:pStyle w:val="874"/>
              <w:pBdr/>
              <w:spacing/>
              <w:ind/>
              <w:rPr>
                <w:rFonts w:ascii="Arial" w:hAnsi="Arial" w:cs="Arial"/>
                <w:sz w:val="18"/>
                <w:szCs w:val="18"/>
              </w:rPr>
            </w:pPr>
            <w:r>
              <w:rPr>
                <w:rFonts w:ascii="Arial" w:hAnsi="Arial" w:eastAsia="Arial" w:cs="Arial"/>
                <w:sz w:val="18"/>
                <w:szCs w:val="18"/>
              </w:rPr>
              <w:t xml:space="preserve">Drakelow (Innova)</w:t>
            </w:r>
            <w:r>
              <w:rPr>
                <w:rFonts w:ascii="Arial" w:hAnsi="Arial" w:cs="Arial"/>
                <w:sz w:val="18"/>
                <w:szCs w:val="18"/>
              </w:rPr>
            </w:r>
            <w:r>
              <w:rPr>
                <w:rFonts w:ascii="Arial" w:hAnsi="Arial" w:cs="Arial"/>
                <w:sz w:val="18"/>
                <w:szCs w:val="18"/>
              </w:rPr>
            </w:r>
          </w:p>
        </w:tc>
        <w:tc>
          <w:tcPr>
            <w:tcBorders/>
          </w:tcPr>
          <w:p w14:paraId="5A2DFC37">
            <w:pPr>
              <w:pStyle w:val="874"/>
              <w:pBdr/>
              <w:spacing/>
              <w:ind/>
              <w:jc w:val="right"/>
              <w:rPr>
                <w:rFonts w:ascii="Arial" w:hAnsi="Arial" w:cs="Arial"/>
                <w:sz w:val="18"/>
                <w:szCs w:val="18"/>
              </w:rPr>
            </w:pPr>
            <w:r>
              <w:rPr>
                <w:rFonts w:ascii="Arial" w:hAnsi="Arial" w:eastAsia="Arial" w:cs="Arial"/>
                <w:sz w:val="18"/>
                <w:szCs w:val="18"/>
              </w:rPr>
              <w:t xml:space="preserve">0.972</w:t>
            </w:r>
            <w:r>
              <w:rPr>
                <w:rFonts w:ascii="Arial" w:hAnsi="Arial" w:cs="Arial"/>
                <w:sz w:val="18"/>
                <w:szCs w:val="18"/>
              </w:rPr>
            </w:r>
            <w:r>
              <w:rPr>
                <w:rFonts w:ascii="Arial" w:hAnsi="Arial" w:cs="Arial"/>
                <w:sz w:val="18"/>
                <w:szCs w:val="18"/>
              </w:rPr>
            </w:r>
          </w:p>
        </w:tc>
        <w:tc>
          <w:tcPr>
            <w:tcBorders/>
          </w:tcPr>
          <w:p w14:paraId="0F5F3FB2">
            <w:pPr>
              <w:pStyle w:val="874"/>
              <w:pBdr/>
              <w:spacing/>
              <w:ind/>
              <w:jc w:val="right"/>
              <w:rPr>
                <w:rFonts w:ascii="Arial" w:hAnsi="Arial" w:cs="Arial"/>
                <w:sz w:val="18"/>
                <w:szCs w:val="18"/>
              </w:rPr>
            </w:pPr>
            <w:r>
              <w:rPr>
                <w:rFonts w:ascii="Arial" w:hAnsi="Arial" w:eastAsia="Arial" w:cs="Arial"/>
                <w:sz w:val="18"/>
                <w:szCs w:val="18"/>
              </w:rPr>
              <w:t xml:space="preserve">1.653</w:t>
            </w:r>
            <w:r>
              <w:rPr>
                <w:rFonts w:ascii="Arial" w:hAnsi="Arial" w:cs="Arial"/>
                <w:sz w:val="18"/>
                <w:szCs w:val="18"/>
              </w:rPr>
            </w:r>
            <w:r>
              <w:rPr>
                <w:rFonts w:ascii="Arial" w:hAnsi="Arial" w:cs="Arial"/>
                <w:sz w:val="18"/>
                <w:szCs w:val="18"/>
              </w:rPr>
            </w:r>
          </w:p>
        </w:tc>
        <w:tc>
          <w:tcPr>
            <w:tcBorders/>
          </w:tcPr>
          <w:p w14:paraId="6C3BD6DE">
            <w:pPr>
              <w:pStyle w:val="874"/>
              <w:pBdr/>
              <w:spacing/>
              <w:ind/>
              <w:jc w:val="right"/>
              <w:rPr>
                <w:rFonts w:ascii="Arial" w:hAnsi="Arial" w:cs="Arial"/>
                <w:sz w:val="18"/>
                <w:szCs w:val="18"/>
              </w:rPr>
            </w:pPr>
            <w:r>
              <w:rPr>
                <w:rFonts w:ascii="Arial" w:hAnsi="Arial" w:eastAsia="Arial" w:cs="Arial"/>
                <w:sz w:val="18"/>
                <w:szCs w:val="18"/>
              </w:rPr>
              <w:t xml:space="preserve">153.2</w:t>
            </w:r>
            <w:r>
              <w:rPr>
                <w:rFonts w:ascii="Arial" w:hAnsi="Arial" w:cs="Arial"/>
                <w:sz w:val="18"/>
                <w:szCs w:val="18"/>
              </w:rPr>
            </w:r>
            <w:r>
              <w:rPr>
                <w:rFonts w:ascii="Arial" w:hAnsi="Arial" w:cs="Arial"/>
                <w:sz w:val="18"/>
                <w:szCs w:val="18"/>
              </w:rPr>
            </w:r>
          </w:p>
        </w:tc>
        <w:tc>
          <w:tcPr>
            <w:tcBorders/>
          </w:tcPr>
          <w:p w14:paraId="4A5AF7B4">
            <w:pPr>
              <w:pStyle w:val="874"/>
              <w:pBdr/>
              <w:spacing/>
              <w:ind/>
              <w:jc w:val="right"/>
              <w:rPr>
                <w:rFonts w:ascii="Arial" w:hAnsi="Arial" w:cs="Arial"/>
                <w:sz w:val="18"/>
                <w:szCs w:val="18"/>
              </w:rPr>
            </w:pPr>
            <w:r>
              <w:rPr>
                <w:rFonts w:ascii="Arial" w:hAnsi="Arial" w:eastAsia="Arial" w:cs="Arial"/>
                <w:sz w:val="18"/>
                <w:szCs w:val="18"/>
              </w:rPr>
              <w:t xml:space="preserve">983,675</w:t>
            </w:r>
            <w:r>
              <w:rPr>
                <w:rFonts w:ascii="Arial" w:hAnsi="Arial" w:cs="Arial"/>
                <w:sz w:val="18"/>
                <w:szCs w:val="18"/>
              </w:rPr>
            </w:r>
            <w:r>
              <w:rPr>
                <w:rFonts w:ascii="Arial" w:hAnsi="Arial" w:cs="Arial"/>
                <w:sz w:val="18"/>
                <w:szCs w:val="18"/>
              </w:rPr>
            </w:r>
          </w:p>
        </w:tc>
        <w:tc>
          <w:tcPr>
            <w:tcBorders/>
          </w:tcPr>
          <w:p w14:paraId="6C4C10C8">
            <w:pPr>
              <w:pStyle w:val="874"/>
              <w:pBdr/>
              <w:spacing/>
              <w:ind/>
              <w:jc w:val="right"/>
              <w:rPr>
                <w:rFonts w:ascii="Arial" w:hAnsi="Arial" w:cs="Arial"/>
                <w:sz w:val="18"/>
                <w:szCs w:val="18"/>
              </w:rPr>
            </w:pPr>
            <w:r>
              <w:rPr>
                <w:rFonts w:ascii="Arial" w:hAnsi="Arial" w:eastAsia="Arial" w:cs="Arial"/>
                <w:sz w:val="18"/>
                <w:szCs w:val="18"/>
              </w:rPr>
              <w:t xml:space="preserve">78.24</w:t>
            </w:r>
            <w:r>
              <w:rPr>
                <w:rFonts w:ascii="Arial" w:hAnsi="Arial" w:cs="Arial"/>
                <w:sz w:val="18"/>
                <w:szCs w:val="18"/>
              </w:rPr>
            </w:r>
            <w:r>
              <w:rPr>
                <w:rFonts w:ascii="Arial" w:hAnsi="Arial" w:cs="Arial"/>
                <w:sz w:val="18"/>
                <w:szCs w:val="18"/>
              </w:rPr>
            </w:r>
          </w:p>
        </w:tc>
        <w:tc>
          <w:tcPr>
            <w:tcBorders/>
          </w:tcPr>
          <w:p w14:paraId="6C67FE44">
            <w:pPr>
              <w:pStyle w:val="874"/>
              <w:pBdr/>
              <w:spacing/>
              <w:ind/>
              <w:jc w:val="right"/>
              <w:rPr>
                <w:rFonts w:ascii="Arial" w:hAnsi="Arial" w:cs="Arial"/>
                <w:sz w:val="18"/>
                <w:szCs w:val="18"/>
              </w:rPr>
            </w:pPr>
            <w:r>
              <w:rPr>
                <w:rFonts w:ascii="Arial" w:hAnsi="Arial" w:eastAsia="Arial" w:cs="Arial"/>
                <w:sz w:val="18"/>
                <w:szCs w:val="18"/>
              </w:rPr>
              <w:t xml:space="preserve">42</w:t>
            </w:r>
            <w:r>
              <w:rPr>
                <w:rFonts w:ascii="Arial" w:hAnsi="Arial" w:cs="Arial"/>
                <w:sz w:val="18"/>
                <w:szCs w:val="18"/>
              </w:rPr>
            </w:r>
            <w:r>
              <w:rPr>
                <w:rFonts w:ascii="Arial" w:hAnsi="Arial" w:cs="Arial"/>
                <w:sz w:val="18"/>
                <w:szCs w:val="18"/>
              </w:rPr>
            </w:r>
          </w:p>
        </w:tc>
      </w:tr>
      <w:tr>
        <w:trPr/>
        <w:tc>
          <w:tcPr>
            <w:tcBorders/>
          </w:tcPr>
          <w:p w14:paraId="2796E0E1">
            <w:pPr>
              <w:pStyle w:val="874"/>
              <w:pBdr/>
              <w:spacing/>
              <w:ind/>
              <w:rPr>
                <w:rFonts w:ascii="Arial" w:hAnsi="Arial" w:cs="Arial"/>
                <w:sz w:val="18"/>
                <w:szCs w:val="18"/>
              </w:rPr>
            </w:pPr>
            <w:r>
              <w:rPr>
                <w:rFonts w:ascii="Arial" w:hAnsi="Arial" w:eastAsia="Arial" w:cs="Arial"/>
                <w:sz w:val="18"/>
                <w:szCs w:val="18"/>
              </w:rPr>
              <w:t xml:space="preserve">Springwell</w:t>
            </w:r>
            <w:r>
              <w:rPr>
                <w:rFonts w:ascii="Arial" w:hAnsi="Arial" w:cs="Arial"/>
                <w:sz w:val="18"/>
                <w:szCs w:val="18"/>
              </w:rPr>
            </w:r>
            <w:r>
              <w:rPr>
                <w:rFonts w:ascii="Arial" w:hAnsi="Arial" w:cs="Arial"/>
                <w:sz w:val="18"/>
                <w:szCs w:val="18"/>
              </w:rPr>
            </w:r>
          </w:p>
        </w:tc>
        <w:tc>
          <w:tcPr>
            <w:tcBorders/>
          </w:tcPr>
          <w:p w14:paraId="7183CAE6">
            <w:pPr>
              <w:pStyle w:val="874"/>
              <w:pBdr/>
              <w:spacing/>
              <w:ind/>
              <w:jc w:val="right"/>
              <w:rPr>
                <w:rFonts w:ascii="Arial" w:hAnsi="Arial" w:cs="Arial"/>
                <w:sz w:val="18"/>
                <w:szCs w:val="18"/>
              </w:rPr>
            </w:pPr>
            <w:r>
              <w:rPr>
                <w:rFonts w:ascii="Arial" w:hAnsi="Arial" w:eastAsia="Arial" w:cs="Arial"/>
                <w:sz w:val="18"/>
                <w:szCs w:val="18"/>
              </w:rPr>
              <w:t xml:space="preserve">1.250</w:t>
            </w:r>
            <w:r>
              <w:rPr>
                <w:rFonts w:ascii="Arial" w:hAnsi="Arial" w:cs="Arial"/>
                <w:sz w:val="18"/>
                <w:szCs w:val="18"/>
              </w:rPr>
            </w:r>
            <w:r>
              <w:rPr>
                <w:rFonts w:ascii="Arial" w:hAnsi="Arial" w:cs="Arial"/>
                <w:sz w:val="18"/>
                <w:szCs w:val="18"/>
              </w:rPr>
            </w:r>
          </w:p>
        </w:tc>
        <w:tc>
          <w:tcPr>
            <w:tcBorders/>
          </w:tcPr>
          <w:p w14:paraId="46246F7A">
            <w:pPr>
              <w:pStyle w:val="874"/>
              <w:pBdr/>
              <w:spacing/>
              <w:ind/>
              <w:jc w:val="right"/>
              <w:rPr>
                <w:rFonts w:ascii="Arial" w:hAnsi="Arial" w:cs="Arial"/>
                <w:sz w:val="18"/>
                <w:szCs w:val="18"/>
              </w:rPr>
            </w:pPr>
            <w:r>
              <w:rPr>
                <w:rFonts w:ascii="Arial" w:hAnsi="Arial" w:eastAsia="Arial" w:cs="Arial"/>
                <w:sz w:val="18"/>
                <w:szCs w:val="18"/>
              </w:rPr>
              <w:t xml:space="preserve">2.125</w:t>
            </w:r>
            <w:r>
              <w:rPr>
                <w:rFonts w:ascii="Arial" w:hAnsi="Arial" w:cs="Arial"/>
                <w:sz w:val="18"/>
                <w:szCs w:val="18"/>
              </w:rPr>
            </w:r>
            <w:r>
              <w:rPr>
                <w:rFonts w:ascii="Arial" w:hAnsi="Arial" w:cs="Arial"/>
                <w:sz w:val="18"/>
                <w:szCs w:val="18"/>
              </w:rPr>
            </w:r>
          </w:p>
        </w:tc>
        <w:tc>
          <w:tcPr>
            <w:tcBorders/>
          </w:tcPr>
          <w:p w14:paraId="09065FCA">
            <w:pPr>
              <w:pStyle w:val="874"/>
              <w:pBdr/>
              <w:spacing/>
              <w:ind/>
              <w:jc w:val="right"/>
              <w:rPr>
                <w:rFonts w:ascii="Arial" w:hAnsi="Arial" w:cs="Arial"/>
                <w:sz w:val="18"/>
                <w:szCs w:val="18"/>
              </w:rPr>
            </w:pPr>
            <w:r>
              <w:rPr>
                <w:rFonts w:ascii="Arial" w:hAnsi="Arial" w:eastAsia="Arial" w:cs="Arial"/>
                <w:sz w:val="18"/>
                <w:szCs w:val="18"/>
              </w:rPr>
              <w:t xml:space="preserve">146.6</w:t>
            </w:r>
            <w:r>
              <w:rPr>
                <w:rFonts w:ascii="Arial" w:hAnsi="Arial" w:cs="Arial"/>
                <w:sz w:val="18"/>
                <w:szCs w:val="18"/>
              </w:rPr>
            </w:r>
            <w:r>
              <w:rPr>
                <w:rFonts w:ascii="Arial" w:hAnsi="Arial" w:cs="Arial"/>
                <w:sz w:val="18"/>
                <w:szCs w:val="18"/>
              </w:rPr>
            </w:r>
          </w:p>
        </w:tc>
        <w:tc>
          <w:tcPr>
            <w:tcBorders/>
          </w:tcPr>
          <w:p w14:paraId="66938E4B">
            <w:pPr>
              <w:pStyle w:val="874"/>
              <w:pBdr/>
              <w:spacing/>
              <w:ind/>
              <w:jc w:val="right"/>
              <w:rPr>
                <w:rFonts w:ascii="Arial" w:hAnsi="Arial" w:cs="Arial"/>
                <w:sz w:val="18"/>
                <w:szCs w:val="18"/>
              </w:rPr>
            </w:pPr>
            <w:r>
              <w:rPr>
                <w:rFonts w:ascii="Arial" w:hAnsi="Arial" w:eastAsia="Arial" w:cs="Arial"/>
                <w:sz w:val="18"/>
                <w:szCs w:val="18"/>
              </w:rPr>
              <w:t xml:space="preserve">1,314,000</w:t>
            </w:r>
            <w:r>
              <w:rPr>
                <w:rFonts w:ascii="Arial" w:hAnsi="Arial" w:cs="Arial"/>
                <w:sz w:val="18"/>
                <w:szCs w:val="18"/>
              </w:rPr>
            </w:r>
            <w:r>
              <w:rPr>
                <w:rFonts w:ascii="Arial" w:hAnsi="Arial" w:cs="Arial"/>
                <w:sz w:val="18"/>
                <w:szCs w:val="18"/>
              </w:rPr>
            </w:r>
          </w:p>
        </w:tc>
        <w:tc>
          <w:tcPr>
            <w:tcBorders/>
          </w:tcPr>
          <w:p w14:paraId="78B13D7E">
            <w:pPr>
              <w:pStyle w:val="874"/>
              <w:pBdr/>
              <w:spacing/>
              <w:ind/>
              <w:jc w:val="right"/>
              <w:rPr>
                <w:rFonts w:ascii="Arial" w:hAnsi="Arial" w:cs="Arial"/>
                <w:sz w:val="18"/>
                <w:szCs w:val="18"/>
              </w:rPr>
            </w:pPr>
            <w:r>
              <w:rPr>
                <w:rFonts w:ascii="Arial" w:hAnsi="Arial" w:eastAsia="Arial" w:cs="Arial"/>
                <w:sz w:val="18"/>
                <w:szCs w:val="18"/>
              </w:rPr>
              <w:t xml:space="preserve">96.73</w:t>
            </w:r>
            <w:r>
              <w:rPr>
                <w:rFonts w:ascii="Arial" w:hAnsi="Arial" w:cs="Arial"/>
                <w:sz w:val="18"/>
                <w:szCs w:val="18"/>
              </w:rPr>
            </w:r>
            <w:r>
              <w:rPr>
                <w:rFonts w:ascii="Arial" w:hAnsi="Arial" w:cs="Arial"/>
                <w:sz w:val="18"/>
                <w:szCs w:val="18"/>
              </w:rPr>
            </w:r>
          </w:p>
        </w:tc>
        <w:tc>
          <w:tcPr>
            <w:tcBorders/>
          </w:tcPr>
          <w:p w14:paraId="70260FD2">
            <w:pPr>
              <w:pStyle w:val="874"/>
              <w:pBdr/>
              <w:spacing/>
              <w:ind/>
              <w:jc w:val="right"/>
              <w:rPr>
                <w:rFonts w:ascii="Arial" w:hAnsi="Arial" w:cs="Arial"/>
                <w:sz w:val="18"/>
                <w:szCs w:val="18"/>
              </w:rPr>
            </w:pPr>
            <w:r>
              <w:rPr>
                <w:rFonts w:ascii="Arial" w:hAnsi="Arial" w:eastAsia="Arial" w:cs="Arial"/>
                <w:sz w:val="18"/>
                <w:szCs w:val="18"/>
              </w:rPr>
              <w:t xml:space="preserve">48</w:t>
            </w:r>
            <w:r>
              <w:rPr>
                <w:rFonts w:ascii="Arial" w:hAnsi="Arial" w:cs="Arial"/>
                <w:sz w:val="18"/>
                <w:szCs w:val="18"/>
              </w:rPr>
            </w:r>
            <w:r>
              <w:rPr>
                <w:rFonts w:ascii="Arial" w:hAnsi="Arial" w:cs="Arial"/>
                <w:sz w:val="18"/>
                <w:szCs w:val="18"/>
              </w:rPr>
            </w:r>
          </w:p>
        </w:tc>
      </w:tr>
      <w:tr>
        <w:trPr/>
        <w:tc>
          <w:tcPr>
            <w:tcBorders/>
          </w:tcPr>
          <w:p w14:paraId="1A37D543">
            <w:pPr>
              <w:pStyle w:val="874"/>
              <w:pBdr/>
              <w:spacing/>
              <w:ind/>
              <w:rPr>
                <w:rFonts w:ascii="Arial" w:hAnsi="Arial" w:cs="Arial"/>
                <w:sz w:val="18"/>
                <w:szCs w:val="18"/>
              </w:rPr>
            </w:pPr>
            <w:r>
              <w:rPr>
                <w:rFonts w:ascii="Arial" w:hAnsi="Arial" w:eastAsia="Arial" w:cs="Arial"/>
                <w:sz w:val="18"/>
                <w:szCs w:val="18"/>
              </w:rPr>
              <w:t xml:space="preserve">Thornton BESS 2</w:t>
            </w:r>
            <w:r>
              <w:rPr>
                <w:rFonts w:ascii="Arial" w:hAnsi="Arial" w:cs="Arial"/>
                <w:sz w:val="18"/>
                <w:szCs w:val="18"/>
              </w:rPr>
            </w:r>
            <w:r>
              <w:rPr>
                <w:rFonts w:ascii="Arial" w:hAnsi="Arial" w:cs="Arial"/>
                <w:sz w:val="18"/>
                <w:szCs w:val="18"/>
              </w:rPr>
            </w:r>
          </w:p>
        </w:tc>
        <w:tc>
          <w:tcPr>
            <w:tcBorders/>
          </w:tcPr>
          <w:p w14:paraId="2FFFF10B">
            <w:pPr>
              <w:pStyle w:val="874"/>
              <w:pBdr/>
              <w:spacing/>
              <w:ind/>
              <w:jc w:val="right"/>
              <w:rPr>
                <w:rFonts w:ascii="Arial" w:hAnsi="Arial" w:cs="Arial"/>
                <w:sz w:val="18"/>
                <w:szCs w:val="18"/>
              </w:rPr>
            </w:pPr>
            <w:r>
              <w:rPr>
                <w:rFonts w:ascii="Arial" w:hAnsi="Arial" w:eastAsia="Arial" w:cs="Arial"/>
                <w:sz w:val="18"/>
                <w:szCs w:val="18"/>
              </w:rPr>
              <w:t xml:space="preserve">0.312</w:t>
            </w:r>
            <w:r>
              <w:rPr>
                <w:rFonts w:ascii="Arial" w:hAnsi="Arial" w:cs="Arial"/>
                <w:sz w:val="18"/>
                <w:szCs w:val="18"/>
              </w:rPr>
            </w:r>
            <w:r>
              <w:rPr>
                <w:rFonts w:ascii="Arial" w:hAnsi="Arial" w:cs="Arial"/>
                <w:sz w:val="18"/>
                <w:szCs w:val="18"/>
              </w:rPr>
            </w:r>
          </w:p>
        </w:tc>
        <w:tc>
          <w:tcPr>
            <w:tcBorders/>
          </w:tcPr>
          <w:p w14:paraId="0D96972A">
            <w:pPr>
              <w:pStyle w:val="874"/>
              <w:pBdr/>
              <w:spacing/>
              <w:ind/>
              <w:jc w:val="right"/>
              <w:rPr>
                <w:rFonts w:ascii="Arial" w:hAnsi="Arial" w:cs="Arial"/>
                <w:sz w:val="18"/>
                <w:szCs w:val="18"/>
              </w:rPr>
            </w:pPr>
            <w:r>
              <w:rPr>
                <w:rFonts w:ascii="Arial" w:hAnsi="Arial" w:eastAsia="Arial" w:cs="Arial"/>
                <w:sz w:val="18"/>
                <w:szCs w:val="18"/>
              </w:rPr>
              <w:t xml:space="preserve">0.531</w:t>
            </w:r>
            <w:r>
              <w:rPr>
                <w:rFonts w:ascii="Arial" w:hAnsi="Arial" w:cs="Arial"/>
                <w:sz w:val="18"/>
                <w:szCs w:val="18"/>
              </w:rPr>
            </w:r>
            <w:r>
              <w:rPr>
                <w:rFonts w:ascii="Arial" w:hAnsi="Arial" w:cs="Arial"/>
                <w:sz w:val="18"/>
                <w:szCs w:val="18"/>
              </w:rPr>
            </w:r>
          </w:p>
        </w:tc>
        <w:tc>
          <w:tcPr>
            <w:tcBorders/>
          </w:tcPr>
          <w:p w14:paraId="1A1621AC">
            <w:pPr>
              <w:pStyle w:val="874"/>
              <w:pBdr/>
              <w:spacing/>
              <w:ind/>
              <w:jc w:val="right"/>
              <w:rPr>
                <w:rFonts w:ascii="Arial" w:hAnsi="Arial" w:cs="Arial"/>
                <w:sz w:val="18"/>
                <w:szCs w:val="18"/>
              </w:rPr>
            </w:pPr>
            <w:r>
              <w:rPr>
                <w:rFonts w:ascii="Arial" w:hAnsi="Arial" w:eastAsia="Arial" w:cs="Arial"/>
                <w:sz w:val="18"/>
                <w:szCs w:val="18"/>
              </w:rPr>
              <w:t xml:space="preserve">146.6</w:t>
            </w:r>
            <w:r>
              <w:rPr>
                <w:rFonts w:ascii="Arial" w:hAnsi="Arial" w:cs="Arial"/>
                <w:sz w:val="18"/>
                <w:szCs w:val="18"/>
              </w:rPr>
            </w:r>
            <w:r>
              <w:rPr>
                <w:rFonts w:ascii="Arial" w:hAnsi="Arial" w:cs="Arial"/>
                <w:sz w:val="18"/>
                <w:szCs w:val="18"/>
              </w:rPr>
            </w:r>
          </w:p>
        </w:tc>
        <w:tc>
          <w:tcPr>
            <w:tcBorders/>
          </w:tcPr>
          <w:p w14:paraId="54B020EF">
            <w:pPr>
              <w:pStyle w:val="874"/>
              <w:pBdr/>
              <w:spacing/>
              <w:ind/>
              <w:jc w:val="right"/>
              <w:rPr>
                <w:rFonts w:ascii="Arial" w:hAnsi="Arial" w:cs="Arial"/>
                <w:sz w:val="18"/>
                <w:szCs w:val="18"/>
              </w:rPr>
            </w:pPr>
            <w:r>
              <w:rPr>
                <w:rFonts w:ascii="Arial" w:hAnsi="Arial" w:eastAsia="Arial" w:cs="Arial"/>
                <w:sz w:val="18"/>
                <w:szCs w:val="18"/>
              </w:rPr>
              <w:t xml:space="preserve">328,500</w:t>
            </w:r>
            <w:r>
              <w:rPr>
                <w:rFonts w:ascii="Arial" w:hAnsi="Arial" w:cs="Arial"/>
                <w:sz w:val="18"/>
                <w:szCs w:val="18"/>
              </w:rPr>
            </w:r>
            <w:r>
              <w:rPr>
                <w:rFonts w:ascii="Arial" w:hAnsi="Arial" w:cs="Arial"/>
                <w:sz w:val="18"/>
                <w:szCs w:val="18"/>
              </w:rPr>
            </w:r>
          </w:p>
        </w:tc>
        <w:tc>
          <w:tcPr>
            <w:tcBorders/>
          </w:tcPr>
          <w:p w14:paraId="371092D6">
            <w:pPr>
              <w:pStyle w:val="874"/>
              <w:pBdr/>
              <w:spacing/>
              <w:ind/>
              <w:jc w:val="right"/>
              <w:rPr>
                <w:rFonts w:ascii="Arial" w:hAnsi="Arial" w:cs="Arial"/>
                <w:sz w:val="18"/>
                <w:szCs w:val="18"/>
              </w:rPr>
            </w:pPr>
            <w:r>
              <w:rPr>
                <w:rFonts w:ascii="Arial" w:hAnsi="Arial" w:eastAsia="Arial" w:cs="Arial"/>
                <w:sz w:val="18"/>
                <w:szCs w:val="18"/>
              </w:rPr>
              <w:t xml:space="preserve">24.18</w:t>
            </w:r>
            <w:r>
              <w:rPr>
                <w:rFonts w:ascii="Arial" w:hAnsi="Arial" w:cs="Arial"/>
                <w:sz w:val="18"/>
                <w:szCs w:val="18"/>
              </w:rPr>
            </w:r>
            <w:r>
              <w:rPr>
                <w:rFonts w:ascii="Arial" w:hAnsi="Arial" w:cs="Arial"/>
                <w:sz w:val="18"/>
                <w:szCs w:val="18"/>
              </w:rPr>
            </w:r>
          </w:p>
        </w:tc>
        <w:tc>
          <w:tcPr>
            <w:tcBorders/>
          </w:tcPr>
          <w:p w14:paraId="73D2D505">
            <w:pPr>
              <w:pStyle w:val="874"/>
              <w:pBdr/>
              <w:spacing/>
              <w:ind/>
              <w:jc w:val="right"/>
              <w:rPr>
                <w:rFonts w:ascii="Arial" w:hAnsi="Arial" w:cs="Arial"/>
                <w:sz w:val="18"/>
                <w:szCs w:val="18"/>
              </w:rPr>
            </w:pPr>
            <w:r>
              <w:rPr>
                <w:rFonts w:ascii="Arial" w:hAnsi="Arial" w:eastAsia="Arial" w:cs="Arial"/>
                <w:sz w:val="18"/>
                <w:szCs w:val="18"/>
              </w:rPr>
              <w:t xml:space="preserve">48</w:t>
            </w:r>
            <w:r>
              <w:rPr>
                <w:rFonts w:ascii="Arial" w:hAnsi="Arial" w:cs="Arial"/>
                <w:sz w:val="18"/>
                <w:szCs w:val="18"/>
              </w:rPr>
            </w:r>
            <w:r>
              <w:rPr>
                <w:rFonts w:ascii="Arial" w:hAnsi="Arial" w:cs="Arial"/>
                <w:sz w:val="18"/>
                <w:szCs w:val="18"/>
              </w:rPr>
            </w:r>
          </w:p>
        </w:tc>
      </w:tr>
      <w:tr>
        <w:trPr/>
        <w:tc>
          <w:tcPr>
            <w:tcBorders/>
          </w:tcPr>
          <w:p w14:paraId="6F97BFC7">
            <w:pPr>
              <w:pStyle w:val="874"/>
              <w:pBdr/>
              <w:spacing/>
              <w:ind/>
              <w:rPr>
                <w:rFonts w:ascii="Arial" w:hAnsi="Arial" w:cs="Arial"/>
                <w:sz w:val="18"/>
                <w:szCs w:val="18"/>
              </w:rPr>
            </w:pPr>
            <w:r>
              <w:rPr>
                <w:rFonts w:ascii="Arial" w:hAnsi="Arial" w:eastAsia="Arial" w:cs="Arial"/>
                <w:sz w:val="18"/>
                <w:szCs w:val="18"/>
              </w:rPr>
              <w:t xml:space="preserve">East Claydon Storage</w:t>
            </w:r>
            <w:r>
              <w:rPr>
                <w:rFonts w:ascii="Arial" w:hAnsi="Arial" w:cs="Arial"/>
                <w:sz w:val="18"/>
                <w:szCs w:val="18"/>
              </w:rPr>
            </w:r>
            <w:r>
              <w:rPr>
                <w:rFonts w:ascii="Arial" w:hAnsi="Arial" w:cs="Arial"/>
                <w:sz w:val="18"/>
                <w:szCs w:val="18"/>
              </w:rPr>
            </w:r>
          </w:p>
        </w:tc>
        <w:tc>
          <w:tcPr>
            <w:tcBorders/>
          </w:tcPr>
          <w:p w14:paraId="716E6605">
            <w:pPr>
              <w:pStyle w:val="874"/>
              <w:pBdr/>
              <w:spacing/>
              <w:ind/>
              <w:jc w:val="right"/>
              <w:rPr>
                <w:rFonts w:ascii="Arial" w:hAnsi="Arial" w:cs="Arial"/>
                <w:sz w:val="18"/>
                <w:szCs w:val="18"/>
              </w:rPr>
            </w:pPr>
            <w:r>
              <w:rPr>
                <w:rFonts w:ascii="Arial" w:hAnsi="Arial" w:eastAsia="Arial" w:cs="Arial"/>
                <w:sz w:val="18"/>
                <w:szCs w:val="18"/>
              </w:rPr>
              <w:t xml:space="preserve">1.675</w:t>
            </w:r>
            <w:r>
              <w:rPr>
                <w:rFonts w:ascii="Arial" w:hAnsi="Arial" w:cs="Arial"/>
                <w:sz w:val="18"/>
                <w:szCs w:val="18"/>
              </w:rPr>
            </w:r>
            <w:r>
              <w:rPr>
                <w:rFonts w:ascii="Arial" w:hAnsi="Arial" w:cs="Arial"/>
                <w:sz w:val="18"/>
                <w:szCs w:val="18"/>
              </w:rPr>
            </w:r>
          </w:p>
        </w:tc>
        <w:tc>
          <w:tcPr>
            <w:tcBorders/>
          </w:tcPr>
          <w:p w14:paraId="52CB3332">
            <w:pPr>
              <w:pStyle w:val="874"/>
              <w:pBdr/>
              <w:spacing/>
              <w:ind/>
              <w:jc w:val="right"/>
              <w:rPr>
                <w:rFonts w:ascii="Arial" w:hAnsi="Arial" w:cs="Arial"/>
                <w:sz w:val="18"/>
                <w:szCs w:val="18"/>
              </w:rPr>
            </w:pPr>
            <w:r>
              <w:rPr>
                <w:rFonts w:ascii="Arial" w:hAnsi="Arial" w:eastAsia="Arial" w:cs="Arial"/>
                <w:sz w:val="18"/>
                <w:szCs w:val="18"/>
              </w:rPr>
              <w:t xml:space="preserve">2.848</w:t>
            </w:r>
            <w:r>
              <w:rPr>
                <w:rFonts w:ascii="Arial" w:hAnsi="Arial" w:cs="Arial"/>
                <w:sz w:val="18"/>
                <w:szCs w:val="18"/>
              </w:rPr>
            </w:r>
            <w:r>
              <w:rPr>
                <w:rFonts w:ascii="Arial" w:hAnsi="Arial" w:cs="Arial"/>
                <w:sz w:val="18"/>
                <w:szCs w:val="18"/>
              </w:rPr>
            </w:r>
          </w:p>
        </w:tc>
        <w:tc>
          <w:tcPr>
            <w:tcBorders/>
          </w:tcPr>
          <w:p w14:paraId="4CBE96C4">
            <w:pPr>
              <w:pStyle w:val="874"/>
              <w:pBdr/>
              <w:spacing/>
              <w:ind/>
              <w:jc w:val="right"/>
              <w:rPr>
                <w:rFonts w:ascii="Arial" w:hAnsi="Arial" w:cs="Arial"/>
                <w:sz w:val="18"/>
                <w:szCs w:val="18"/>
              </w:rPr>
            </w:pPr>
            <w:r>
              <w:rPr>
                <w:rFonts w:ascii="Arial" w:hAnsi="Arial" w:eastAsia="Arial" w:cs="Arial"/>
                <w:sz w:val="18"/>
                <w:szCs w:val="18"/>
              </w:rPr>
              <w:t xml:space="preserve">141.2</w:t>
            </w:r>
            <w:r>
              <w:rPr>
                <w:rFonts w:ascii="Arial" w:hAnsi="Arial" w:cs="Arial"/>
                <w:sz w:val="18"/>
                <w:szCs w:val="18"/>
              </w:rPr>
            </w:r>
            <w:r>
              <w:rPr>
                <w:rFonts w:ascii="Arial" w:hAnsi="Arial" w:cs="Arial"/>
                <w:sz w:val="18"/>
                <w:szCs w:val="18"/>
              </w:rPr>
            </w:r>
          </w:p>
        </w:tc>
        <w:tc>
          <w:tcPr>
            <w:tcBorders/>
          </w:tcPr>
          <w:p w14:paraId="06EE55B1">
            <w:pPr>
              <w:pStyle w:val="874"/>
              <w:pBdr/>
              <w:spacing/>
              <w:ind/>
              <w:jc w:val="right"/>
              <w:rPr>
                <w:rFonts w:ascii="Arial" w:hAnsi="Arial" w:cs="Arial"/>
                <w:sz w:val="18"/>
                <w:szCs w:val="18"/>
              </w:rPr>
            </w:pPr>
            <w:r>
              <w:rPr>
                <w:rFonts w:ascii="Arial" w:hAnsi="Arial" w:eastAsia="Arial" w:cs="Arial"/>
                <w:sz w:val="18"/>
                <w:szCs w:val="18"/>
              </w:rPr>
              <w:t xml:space="preserve">1,825,000</w:t>
            </w:r>
            <w:r>
              <w:rPr>
                <w:rFonts w:ascii="Arial" w:hAnsi="Arial" w:cs="Arial"/>
                <w:sz w:val="18"/>
                <w:szCs w:val="18"/>
              </w:rPr>
            </w:r>
            <w:r>
              <w:rPr>
                <w:rFonts w:ascii="Arial" w:hAnsi="Arial" w:cs="Arial"/>
                <w:sz w:val="18"/>
                <w:szCs w:val="18"/>
              </w:rPr>
            </w:r>
          </w:p>
        </w:tc>
        <w:tc>
          <w:tcPr>
            <w:tcBorders/>
          </w:tcPr>
          <w:p w14:paraId="5B622FA0">
            <w:pPr>
              <w:pStyle w:val="874"/>
              <w:pBdr/>
              <w:spacing/>
              <w:ind/>
              <w:jc w:val="right"/>
              <w:rPr>
                <w:rFonts w:ascii="Arial" w:hAnsi="Arial" w:cs="Arial"/>
                <w:sz w:val="18"/>
                <w:szCs w:val="18"/>
              </w:rPr>
            </w:pPr>
            <w:r>
              <w:rPr>
                <w:rFonts w:ascii="Arial" w:hAnsi="Arial" w:eastAsia="Arial" w:cs="Arial"/>
                <w:sz w:val="18"/>
                <w:szCs w:val="18"/>
              </w:rPr>
              <w:t xml:space="preserve">131.35</w:t>
            </w:r>
            <w:r>
              <w:rPr>
                <w:rFonts w:ascii="Arial" w:hAnsi="Arial" w:cs="Arial"/>
                <w:sz w:val="18"/>
                <w:szCs w:val="18"/>
              </w:rPr>
            </w:r>
            <w:r>
              <w:rPr>
                <w:rFonts w:ascii="Arial" w:hAnsi="Arial" w:cs="Arial"/>
                <w:sz w:val="18"/>
                <w:szCs w:val="18"/>
              </w:rPr>
            </w:r>
          </w:p>
        </w:tc>
        <w:tc>
          <w:tcPr>
            <w:tcBorders/>
          </w:tcPr>
          <w:p w14:paraId="395BBF22">
            <w:pPr>
              <w:pStyle w:val="874"/>
              <w:pBdr/>
              <w:spacing/>
              <w:ind/>
              <w:jc w:val="right"/>
              <w:rPr>
                <w:rFonts w:ascii="Arial" w:hAnsi="Arial" w:cs="Arial"/>
                <w:sz w:val="18"/>
                <w:szCs w:val="18"/>
              </w:rPr>
            </w:pPr>
            <w:r>
              <w:rPr>
                <w:rFonts w:ascii="Arial" w:hAnsi="Arial" w:eastAsia="Arial" w:cs="Arial"/>
                <w:sz w:val="18"/>
                <w:szCs w:val="18"/>
              </w:rPr>
              <w:t xml:space="preserve">50</w:t>
            </w:r>
            <w:r>
              <w:rPr>
                <w:rFonts w:ascii="Arial" w:hAnsi="Arial" w:cs="Arial"/>
                <w:sz w:val="18"/>
                <w:szCs w:val="18"/>
              </w:rPr>
            </w:r>
            <w:r>
              <w:rPr>
                <w:rFonts w:ascii="Arial" w:hAnsi="Arial" w:cs="Arial"/>
                <w:sz w:val="18"/>
                <w:szCs w:val="18"/>
              </w:rPr>
            </w:r>
          </w:p>
        </w:tc>
      </w:tr>
      <w:tr>
        <w:trPr/>
        <w:tc>
          <w:tcPr>
            <w:tcBorders/>
          </w:tcPr>
          <w:p w14:paraId="13191814">
            <w:pPr>
              <w:pStyle w:val="874"/>
              <w:pBdr/>
              <w:spacing/>
              <w:ind/>
              <w:rPr>
                <w:rFonts w:ascii="Arial" w:hAnsi="Arial" w:cs="Arial"/>
                <w:sz w:val="18"/>
                <w:szCs w:val="18"/>
              </w:rPr>
            </w:pPr>
            <w:r>
              <w:rPr>
                <w:rFonts w:ascii="Arial" w:hAnsi="Arial" w:eastAsia="Arial" w:cs="Arial"/>
                <w:sz w:val="18"/>
                <w:szCs w:val="18"/>
              </w:rPr>
              <w:t xml:space="preserve">Field Long Stratton</w:t>
            </w:r>
            <w:r>
              <w:rPr>
                <w:rFonts w:ascii="Arial" w:hAnsi="Arial" w:cs="Arial"/>
                <w:sz w:val="18"/>
                <w:szCs w:val="18"/>
              </w:rPr>
            </w:r>
            <w:r>
              <w:rPr>
                <w:rFonts w:ascii="Arial" w:hAnsi="Arial" w:cs="Arial"/>
                <w:sz w:val="18"/>
                <w:szCs w:val="18"/>
              </w:rPr>
            </w:r>
          </w:p>
        </w:tc>
        <w:tc>
          <w:tcPr>
            <w:tcBorders/>
          </w:tcPr>
          <w:p w14:paraId="15681343">
            <w:pPr>
              <w:pStyle w:val="874"/>
              <w:pBdr/>
              <w:spacing/>
              <w:ind/>
              <w:jc w:val="right"/>
              <w:rPr>
                <w:rFonts w:ascii="Arial" w:hAnsi="Arial" w:cs="Arial"/>
                <w:sz w:val="18"/>
                <w:szCs w:val="18"/>
              </w:rPr>
            </w:pPr>
            <w:r>
              <w:rPr>
                <w:rFonts w:ascii="Arial" w:hAnsi="Arial" w:eastAsia="Arial" w:cs="Arial"/>
                <w:sz w:val="18"/>
                <w:szCs w:val="18"/>
              </w:rPr>
              <w:t xml:space="preserve">1.750</w:t>
            </w:r>
            <w:r>
              <w:rPr>
                <w:rFonts w:ascii="Arial" w:hAnsi="Arial" w:cs="Arial"/>
                <w:sz w:val="18"/>
                <w:szCs w:val="18"/>
              </w:rPr>
            </w:r>
            <w:r>
              <w:rPr>
                <w:rFonts w:ascii="Arial" w:hAnsi="Arial" w:cs="Arial"/>
                <w:sz w:val="18"/>
                <w:szCs w:val="18"/>
              </w:rPr>
            </w:r>
          </w:p>
        </w:tc>
        <w:tc>
          <w:tcPr>
            <w:tcBorders/>
          </w:tcPr>
          <w:p w14:paraId="199830FB">
            <w:pPr>
              <w:pStyle w:val="874"/>
              <w:pBdr/>
              <w:spacing/>
              <w:ind/>
              <w:jc w:val="right"/>
              <w:rPr>
                <w:rFonts w:ascii="Arial" w:hAnsi="Arial" w:cs="Arial"/>
                <w:sz w:val="18"/>
                <w:szCs w:val="18"/>
              </w:rPr>
            </w:pPr>
            <w:r>
              <w:rPr>
                <w:rFonts w:ascii="Arial" w:hAnsi="Arial" w:eastAsia="Arial" w:cs="Arial"/>
                <w:sz w:val="18"/>
                <w:szCs w:val="18"/>
              </w:rPr>
              <w:t xml:space="preserve">2.975</w:t>
            </w:r>
            <w:r>
              <w:rPr>
                <w:rFonts w:ascii="Arial" w:hAnsi="Arial" w:cs="Arial"/>
                <w:sz w:val="18"/>
                <w:szCs w:val="18"/>
              </w:rPr>
            </w:r>
            <w:r>
              <w:rPr>
                <w:rFonts w:ascii="Arial" w:hAnsi="Arial" w:cs="Arial"/>
                <w:sz w:val="18"/>
                <w:szCs w:val="18"/>
              </w:rPr>
            </w:r>
          </w:p>
        </w:tc>
        <w:tc>
          <w:tcPr>
            <w:tcBorders/>
          </w:tcPr>
          <w:p w14:paraId="6F780D7B">
            <w:pPr>
              <w:pStyle w:val="874"/>
              <w:pBdr/>
              <w:spacing/>
              <w:ind/>
              <w:jc w:val="right"/>
              <w:rPr>
                <w:rFonts w:ascii="Arial" w:hAnsi="Arial" w:cs="Arial"/>
                <w:sz w:val="18"/>
                <w:szCs w:val="18"/>
              </w:rPr>
            </w:pPr>
            <w:r>
              <w:rPr>
                <w:rFonts w:ascii="Arial" w:hAnsi="Arial" w:eastAsia="Arial" w:cs="Arial"/>
                <w:sz w:val="18"/>
                <w:szCs w:val="18"/>
              </w:rPr>
              <w:t xml:space="preserve">131.0</w:t>
            </w:r>
            <w:r>
              <w:rPr>
                <w:rFonts w:ascii="Arial" w:hAnsi="Arial" w:cs="Arial"/>
                <w:sz w:val="18"/>
                <w:szCs w:val="18"/>
              </w:rPr>
            </w:r>
            <w:r>
              <w:rPr>
                <w:rFonts w:ascii="Arial" w:hAnsi="Arial" w:cs="Arial"/>
                <w:sz w:val="18"/>
                <w:szCs w:val="18"/>
              </w:rPr>
            </w:r>
          </w:p>
        </w:tc>
        <w:tc>
          <w:tcPr>
            <w:tcBorders/>
          </w:tcPr>
          <w:p w14:paraId="1DC9546E">
            <w:pPr>
              <w:pStyle w:val="874"/>
              <w:pBdr/>
              <w:spacing/>
              <w:ind/>
              <w:jc w:val="right"/>
              <w:rPr>
                <w:rFonts w:ascii="Arial" w:hAnsi="Arial" w:cs="Arial"/>
                <w:sz w:val="18"/>
                <w:szCs w:val="18"/>
              </w:rPr>
            </w:pPr>
            <w:r>
              <w:rPr>
                <w:rFonts w:ascii="Arial" w:hAnsi="Arial" w:eastAsia="Arial" w:cs="Arial"/>
                <w:sz w:val="18"/>
                <w:szCs w:val="18"/>
              </w:rPr>
              <w:t xml:space="preserve">2,044,000</w:t>
            </w:r>
            <w:r>
              <w:rPr>
                <w:rFonts w:ascii="Arial" w:hAnsi="Arial" w:cs="Arial"/>
                <w:sz w:val="18"/>
                <w:szCs w:val="18"/>
              </w:rPr>
            </w:r>
            <w:r>
              <w:rPr>
                <w:rFonts w:ascii="Arial" w:hAnsi="Arial" w:cs="Arial"/>
                <w:sz w:val="18"/>
                <w:szCs w:val="18"/>
              </w:rPr>
            </w:r>
          </w:p>
        </w:tc>
        <w:tc>
          <w:tcPr>
            <w:tcBorders/>
          </w:tcPr>
          <w:p w14:paraId="70EBBC2A">
            <w:pPr>
              <w:pStyle w:val="874"/>
              <w:pBdr/>
              <w:spacing/>
              <w:ind/>
              <w:jc w:val="right"/>
              <w:rPr>
                <w:rFonts w:ascii="Arial" w:hAnsi="Arial" w:cs="Arial"/>
                <w:sz w:val="18"/>
                <w:szCs w:val="18"/>
              </w:rPr>
            </w:pPr>
            <w:r>
              <w:rPr>
                <w:rFonts w:ascii="Arial" w:hAnsi="Arial" w:eastAsia="Arial" w:cs="Arial"/>
                <w:sz w:val="18"/>
                <w:szCs w:val="18"/>
              </w:rPr>
              <w:t xml:space="preserve">127.71</w:t>
            </w:r>
            <w:r>
              <w:rPr>
                <w:rFonts w:ascii="Arial" w:hAnsi="Arial" w:cs="Arial"/>
                <w:sz w:val="18"/>
                <w:szCs w:val="18"/>
              </w:rPr>
            </w:r>
            <w:r>
              <w:rPr>
                <w:rFonts w:ascii="Arial" w:hAnsi="Arial" w:cs="Arial"/>
                <w:sz w:val="18"/>
                <w:szCs w:val="18"/>
              </w:rPr>
            </w:r>
          </w:p>
        </w:tc>
        <w:tc>
          <w:tcPr>
            <w:tcBorders/>
          </w:tcPr>
          <w:p w14:paraId="2AFEC18B">
            <w:pPr>
              <w:pStyle w:val="874"/>
              <w:pBdr/>
              <w:spacing/>
              <w:ind/>
              <w:jc w:val="right"/>
              <w:rPr>
                <w:rFonts w:ascii="Arial" w:hAnsi="Arial" w:cs="Arial"/>
                <w:sz w:val="18"/>
                <w:szCs w:val="18"/>
              </w:rPr>
            </w:pPr>
            <w:r>
              <w:rPr>
                <w:rFonts w:ascii="Arial" w:hAnsi="Arial" w:eastAsia="Arial" w:cs="Arial"/>
                <w:sz w:val="18"/>
                <w:szCs w:val="18"/>
              </w:rPr>
              <w:t xml:space="preserve">60</w:t>
            </w:r>
            <w:r>
              <w:rPr>
                <w:rFonts w:ascii="Arial" w:hAnsi="Arial" w:cs="Arial"/>
                <w:sz w:val="18"/>
                <w:szCs w:val="18"/>
              </w:rPr>
            </w:r>
            <w:r>
              <w:rPr>
                <w:rFonts w:ascii="Arial" w:hAnsi="Arial" w:cs="Arial"/>
                <w:sz w:val="18"/>
                <w:szCs w:val="18"/>
              </w:rPr>
            </w:r>
          </w:p>
        </w:tc>
      </w:tr>
      <w:tr>
        <w:trPr/>
        <w:tc>
          <w:tcPr>
            <w:tcBorders/>
          </w:tcPr>
          <w:p w14:paraId="5B124C54">
            <w:pPr>
              <w:pStyle w:val="874"/>
              <w:pBdr/>
              <w:spacing/>
              <w:ind/>
              <w:rPr>
                <w:rFonts w:ascii="Arial" w:hAnsi="Arial" w:cs="Arial"/>
                <w:sz w:val="18"/>
                <w:szCs w:val="18"/>
              </w:rPr>
            </w:pPr>
            <w:r>
              <w:rPr>
                <w:rFonts w:ascii="Arial" w:hAnsi="Arial" w:eastAsia="Arial" w:cs="Arial"/>
                <w:sz w:val="18"/>
                <w:szCs w:val="18"/>
              </w:rPr>
              <w:t xml:space="preserve">Field Netherton</w:t>
            </w:r>
            <w:r>
              <w:rPr>
                <w:rFonts w:ascii="Arial" w:hAnsi="Arial" w:cs="Arial"/>
                <w:sz w:val="18"/>
                <w:szCs w:val="18"/>
              </w:rPr>
            </w:r>
            <w:r>
              <w:rPr>
                <w:rFonts w:ascii="Arial" w:hAnsi="Arial" w:cs="Arial"/>
                <w:sz w:val="18"/>
                <w:szCs w:val="18"/>
              </w:rPr>
            </w:r>
          </w:p>
        </w:tc>
        <w:tc>
          <w:tcPr>
            <w:tcBorders/>
          </w:tcPr>
          <w:p w14:paraId="12A8C12F">
            <w:pPr>
              <w:pStyle w:val="874"/>
              <w:pBdr/>
              <w:spacing/>
              <w:ind/>
              <w:jc w:val="right"/>
              <w:rPr>
                <w:rFonts w:ascii="Arial" w:hAnsi="Arial" w:cs="Arial"/>
                <w:sz w:val="18"/>
                <w:szCs w:val="18"/>
              </w:rPr>
            </w:pPr>
            <w:r>
              <w:rPr>
                <w:rFonts w:ascii="Arial" w:hAnsi="Arial" w:eastAsia="Arial" w:cs="Arial"/>
                <w:sz w:val="18"/>
                <w:szCs w:val="18"/>
              </w:rPr>
              <w:t xml:space="preserve">1.770</w:t>
            </w:r>
            <w:r>
              <w:rPr>
                <w:rFonts w:ascii="Arial" w:hAnsi="Arial" w:cs="Arial"/>
                <w:sz w:val="18"/>
                <w:szCs w:val="18"/>
              </w:rPr>
            </w:r>
            <w:r>
              <w:rPr>
                <w:rFonts w:ascii="Arial" w:hAnsi="Arial" w:cs="Arial"/>
                <w:sz w:val="18"/>
                <w:szCs w:val="18"/>
              </w:rPr>
            </w:r>
          </w:p>
        </w:tc>
        <w:tc>
          <w:tcPr>
            <w:tcBorders/>
          </w:tcPr>
          <w:p w14:paraId="40B7614F">
            <w:pPr>
              <w:pStyle w:val="874"/>
              <w:pBdr/>
              <w:spacing/>
              <w:ind/>
              <w:jc w:val="right"/>
              <w:rPr>
                <w:rFonts w:ascii="Arial" w:hAnsi="Arial" w:cs="Arial"/>
                <w:sz w:val="18"/>
                <w:szCs w:val="18"/>
              </w:rPr>
            </w:pPr>
            <w:r>
              <w:rPr>
                <w:rFonts w:ascii="Arial" w:hAnsi="Arial" w:eastAsia="Arial" w:cs="Arial"/>
                <w:sz w:val="18"/>
                <w:szCs w:val="18"/>
              </w:rPr>
              <w:t xml:space="preserve">3.009</w:t>
            </w:r>
            <w:r>
              <w:rPr>
                <w:rFonts w:ascii="Arial" w:hAnsi="Arial" w:cs="Arial"/>
                <w:sz w:val="18"/>
                <w:szCs w:val="18"/>
              </w:rPr>
            </w:r>
            <w:r>
              <w:rPr>
                <w:rFonts w:ascii="Arial" w:hAnsi="Arial" w:cs="Arial"/>
                <w:sz w:val="18"/>
                <w:szCs w:val="18"/>
              </w:rPr>
            </w:r>
          </w:p>
        </w:tc>
        <w:tc>
          <w:tcPr>
            <w:tcBorders/>
          </w:tcPr>
          <w:p w14:paraId="1EA9AD8D">
            <w:pPr>
              <w:pStyle w:val="874"/>
              <w:pBdr/>
              <w:spacing/>
              <w:ind/>
              <w:jc w:val="right"/>
              <w:rPr>
                <w:rFonts w:ascii="Arial" w:hAnsi="Arial" w:cs="Arial"/>
                <w:sz w:val="18"/>
                <w:szCs w:val="18"/>
              </w:rPr>
            </w:pPr>
            <w:r>
              <w:rPr>
                <w:rFonts w:ascii="Arial" w:hAnsi="Arial" w:eastAsia="Arial" w:cs="Arial"/>
                <w:sz w:val="18"/>
                <w:szCs w:val="18"/>
              </w:rPr>
              <w:t xml:space="preserve">179.7</w:t>
            </w:r>
            <w:r>
              <w:rPr>
                <w:rFonts w:ascii="Arial" w:hAnsi="Arial" w:cs="Arial"/>
                <w:sz w:val="18"/>
                <w:szCs w:val="18"/>
              </w:rPr>
            </w:r>
            <w:r>
              <w:rPr>
                <w:rFonts w:ascii="Arial" w:hAnsi="Arial" w:cs="Arial"/>
                <w:sz w:val="18"/>
                <w:szCs w:val="18"/>
              </w:rPr>
            </w:r>
          </w:p>
        </w:tc>
        <w:tc>
          <w:tcPr>
            <w:tcBorders/>
          </w:tcPr>
          <w:p w14:paraId="3E2BFB3A">
            <w:pPr>
              <w:pStyle w:val="874"/>
              <w:pBdr/>
              <w:spacing/>
              <w:ind/>
              <w:jc w:val="right"/>
              <w:rPr>
                <w:rFonts w:ascii="Arial" w:hAnsi="Arial" w:cs="Arial"/>
                <w:sz w:val="18"/>
                <w:szCs w:val="18"/>
              </w:rPr>
            </w:pPr>
            <w:r>
              <w:rPr>
                <w:rFonts w:ascii="Arial" w:hAnsi="Arial" w:eastAsia="Arial" w:cs="Arial"/>
                <w:sz w:val="18"/>
                <w:szCs w:val="18"/>
              </w:rPr>
              <w:t xml:space="preserve">1,506,258</w:t>
            </w:r>
            <w:r>
              <w:rPr>
                <w:rFonts w:ascii="Arial" w:hAnsi="Arial" w:cs="Arial"/>
                <w:sz w:val="18"/>
                <w:szCs w:val="18"/>
              </w:rPr>
            </w:r>
            <w:r>
              <w:rPr>
                <w:rFonts w:ascii="Arial" w:hAnsi="Arial" w:cs="Arial"/>
                <w:sz w:val="18"/>
                <w:szCs w:val="18"/>
              </w:rPr>
            </w:r>
          </w:p>
        </w:tc>
        <w:tc>
          <w:tcPr>
            <w:tcBorders/>
          </w:tcPr>
          <w:p w14:paraId="17F08630">
            <w:pPr>
              <w:pStyle w:val="874"/>
              <w:pBdr/>
              <w:spacing/>
              <w:ind/>
              <w:jc w:val="right"/>
              <w:rPr>
                <w:rFonts w:ascii="Arial" w:hAnsi="Arial" w:cs="Arial"/>
                <w:sz w:val="18"/>
                <w:szCs w:val="18"/>
              </w:rPr>
            </w:pPr>
            <w:r>
              <w:rPr>
                <w:rFonts w:ascii="Arial" w:hAnsi="Arial" w:eastAsia="Arial" w:cs="Arial"/>
                <w:sz w:val="18"/>
                <w:szCs w:val="18"/>
              </w:rPr>
              <w:t xml:space="preserve">75.19</w:t>
            </w:r>
            <w:r>
              <w:rPr>
                <w:rFonts w:ascii="Arial" w:hAnsi="Arial" w:cs="Arial"/>
                <w:sz w:val="18"/>
                <w:szCs w:val="18"/>
              </w:rPr>
            </w:r>
            <w:r>
              <w:rPr>
                <w:rFonts w:ascii="Arial" w:hAnsi="Arial" w:cs="Arial"/>
                <w:sz w:val="18"/>
                <w:szCs w:val="18"/>
              </w:rPr>
            </w:r>
          </w:p>
        </w:tc>
        <w:tc>
          <w:tcPr>
            <w:tcBorders/>
          </w:tcPr>
          <w:p w14:paraId="2CFC7E6E">
            <w:pPr>
              <w:pStyle w:val="874"/>
              <w:pBdr/>
              <w:spacing/>
              <w:ind/>
              <w:jc w:val="right"/>
              <w:rPr>
                <w:rFonts w:ascii="Arial" w:hAnsi="Arial" w:cs="Arial"/>
                <w:sz w:val="18"/>
                <w:szCs w:val="18"/>
              </w:rPr>
            </w:pPr>
            <w:r>
              <w:rPr>
                <w:rFonts w:ascii="Arial" w:hAnsi="Arial" w:eastAsia="Arial" w:cs="Arial"/>
                <w:sz w:val="18"/>
                <w:szCs w:val="18"/>
              </w:rPr>
              <w:t xml:space="preserve">61</w:t>
            </w:r>
            <w:r>
              <w:rPr>
                <w:rFonts w:ascii="Arial" w:hAnsi="Arial" w:cs="Arial"/>
                <w:sz w:val="18"/>
                <w:szCs w:val="18"/>
              </w:rPr>
            </w:r>
            <w:r>
              <w:rPr>
                <w:rFonts w:ascii="Arial" w:hAnsi="Arial" w:cs="Arial"/>
                <w:sz w:val="18"/>
                <w:szCs w:val="18"/>
              </w:rPr>
            </w:r>
          </w:p>
        </w:tc>
      </w:tr>
      <w:tr>
        <w:trPr/>
        <w:tc>
          <w:tcPr>
            <w:tcBorders/>
          </w:tcPr>
          <w:p w14:paraId="7582523C">
            <w:pPr>
              <w:pStyle w:val="874"/>
              <w:pBdr/>
              <w:spacing/>
              <w:ind/>
              <w:rPr>
                <w:rFonts w:ascii="Arial" w:hAnsi="Arial" w:cs="Arial"/>
                <w:sz w:val="18"/>
                <w:szCs w:val="18"/>
              </w:rPr>
            </w:pPr>
            <w:r>
              <w:rPr>
                <w:rFonts w:ascii="Arial" w:hAnsi="Arial" w:eastAsia="Arial" w:cs="Arial"/>
                <w:sz w:val="18"/>
                <w:szCs w:val="18"/>
              </w:rPr>
              <w:t xml:space="preserve">Field Fyrish</w:t>
            </w:r>
            <w:r>
              <w:rPr>
                <w:rFonts w:ascii="Arial" w:hAnsi="Arial" w:cs="Arial"/>
                <w:sz w:val="18"/>
                <w:szCs w:val="18"/>
              </w:rPr>
            </w:r>
            <w:r>
              <w:rPr>
                <w:rFonts w:ascii="Arial" w:hAnsi="Arial" w:cs="Arial"/>
                <w:sz w:val="18"/>
                <w:szCs w:val="18"/>
              </w:rPr>
            </w:r>
          </w:p>
        </w:tc>
        <w:tc>
          <w:tcPr>
            <w:tcBorders/>
          </w:tcPr>
          <w:p w14:paraId="060D6955">
            <w:pPr>
              <w:pStyle w:val="874"/>
              <w:pBdr/>
              <w:spacing/>
              <w:ind/>
              <w:jc w:val="right"/>
              <w:rPr>
                <w:rFonts w:ascii="Arial" w:hAnsi="Arial" w:cs="Arial"/>
                <w:sz w:val="18"/>
                <w:szCs w:val="18"/>
              </w:rPr>
            </w:pPr>
            <w:r>
              <w:rPr>
                <w:rFonts w:ascii="Arial" w:hAnsi="Arial" w:eastAsia="Arial" w:cs="Arial"/>
                <w:sz w:val="18"/>
                <w:szCs w:val="18"/>
              </w:rPr>
              <w:t xml:space="preserve">0.895</w:t>
            </w:r>
            <w:r>
              <w:rPr>
                <w:rFonts w:ascii="Arial" w:hAnsi="Arial" w:cs="Arial"/>
                <w:sz w:val="18"/>
                <w:szCs w:val="18"/>
              </w:rPr>
            </w:r>
            <w:r>
              <w:rPr>
                <w:rFonts w:ascii="Arial" w:hAnsi="Arial" w:cs="Arial"/>
                <w:sz w:val="18"/>
                <w:szCs w:val="18"/>
              </w:rPr>
            </w:r>
          </w:p>
        </w:tc>
        <w:tc>
          <w:tcPr>
            <w:tcBorders/>
          </w:tcPr>
          <w:p w14:paraId="60E02839">
            <w:pPr>
              <w:pStyle w:val="874"/>
              <w:pBdr/>
              <w:spacing/>
              <w:ind/>
              <w:jc w:val="right"/>
              <w:rPr>
                <w:rFonts w:ascii="Arial" w:hAnsi="Arial" w:cs="Arial"/>
                <w:sz w:val="18"/>
                <w:szCs w:val="18"/>
              </w:rPr>
            </w:pPr>
            <w:r>
              <w:rPr>
                <w:rFonts w:ascii="Arial" w:hAnsi="Arial" w:eastAsia="Arial" w:cs="Arial"/>
                <w:sz w:val="18"/>
                <w:szCs w:val="18"/>
              </w:rPr>
              <w:t xml:space="preserve">1.522</w:t>
            </w:r>
            <w:r>
              <w:rPr>
                <w:rFonts w:ascii="Arial" w:hAnsi="Arial" w:cs="Arial"/>
                <w:sz w:val="18"/>
                <w:szCs w:val="18"/>
              </w:rPr>
            </w:r>
            <w:r>
              <w:rPr>
                <w:rFonts w:ascii="Arial" w:hAnsi="Arial" w:cs="Arial"/>
                <w:sz w:val="18"/>
                <w:szCs w:val="18"/>
              </w:rPr>
            </w:r>
          </w:p>
        </w:tc>
        <w:tc>
          <w:tcPr>
            <w:tcBorders/>
          </w:tcPr>
          <w:p w14:paraId="5791D79B">
            <w:pPr>
              <w:pStyle w:val="874"/>
              <w:pBdr/>
              <w:spacing/>
              <w:ind/>
              <w:jc w:val="right"/>
              <w:rPr>
                <w:rFonts w:ascii="Arial" w:hAnsi="Arial" w:cs="Arial"/>
                <w:sz w:val="18"/>
                <w:szCs w:val="18"/>
              </w:rPr>
            </w:pPr>
            <w:r>
              <w:rPr>
                <w:rFonts w:ascii="Arial" w:hAnsi="Arial" w:eastAsia="Arial" w:cs="Arial"/>
                <w:sz w:val="18"/>
                <w:szCs w:val="18"/>
              </w:rPr>
              <w:t xml:space="preserve">180.1</w:t>
            </w:r>
            <w:r>
              <w:rPr>
                <w:rFonts w:ascii="Arial" w:hAnsi="Arial" w:cs="Arial"/>
                <w:sz w:val="18"/>
                <w:szCs w:val="18"/>
              </w:rPr>
            </w:r>
            <w:r>
              <w:rPr>
                <w:rFonts w:ascii="Arial" w:hAnsi="Arial" w:cs="Arial"/>
                <w:sz w:val="18"/>
                <w:szCs w:val="18"/>
              </w:rPr>
            </w:r>
          </w:p>
        </w:tc>
        <w:tc>
          <w:tcPr>
            <w:tcBorders/>
          </w:tcPr>
          <w:p w14:paraId="3AE54B1D">
            <w:pPr>
              <w:pStyle w:val="874"/>
              <w:pBdr/>
              <w:spacing/>
              <w:ind/>
              <w:jc w:val="right"/>
              <w:rPr>
                <w:rFonts w:ascii="Arial" w:hAnsi="Arial" w:cs="Arial"/>
                <w:sz w:val="18"/>
                <w:szCs w:val="18"/>
              </w:rPr>
            </w:pPr>
            <w:r>
              <w:rPr>
                <w:rFonts w:ascii="Arial" w:hAnsi="Arial" w:eastAsia="Arial" w:cs="Arial"/>
                <w:sz w:val="18"/>
                <w:szCs w:val="18"/>
              </w:rPr>
              <w:t xml:space="preserve">760,112</w:t>
            </w:r>
            <w:r>
              <w:rPr>
                <w:rFonts w:ascii="Arial" w:hAnsi="Arial" w:cs="Arial"/>
                <w:sz w:val="18"/>
                <w:szCs w:val="18"/>
              </w:rPr>
            </w:r>
            <w:r>
              <w:rPr>
                <w:rFonts w:ascii="Arial" w:hAnsi="Arial" w:cs="Arial"/>
                <w:sz w:val="18"/>
                <w:szCs w:val="18"/>
              </w:rPr>
            </w:r>
          </w:p>
        </w:tc>
        <w:tc>
          <w:tcPr>
            <w:tcBorders/>
          </w:tcPr>
          <w:p w14:paraId="3D76A511">
            <w:pPr>
              <w:pStyle w:val="874"/>
              <w:pBdr/>
              <w:spacing/>
              <w:ind/>
              <w:jc w:val="right"/>
              <w:rPr>
                <w:rFonts w:ascii="Arial" w:hAnsi="Arial" w:cs="Arial"/>
                <w:sz w:val="18"/>
                <w:szCs w:val="18"/>
              </w:rPr>
            </w:pPr>
            <w:r>
              <w:rPr>
                <w:rFonts w:ascii="Arial" w:hAnsi="Arial" w:eastAsia="Arial" w:cs="Arial"/>
                <w:sz w:val="18"/>
                <w:szCs w:val="18"/>
              </w:rPr>
              <w:t xml:space="preserve">37.94</w:t>
            </w:r>
            <w:r>
              <w:rPr>
                <w:rFonts w:ascii="Arial" w:hAnsi="Arial" w:cs="Arial"/>
                <w:sz w:val="18"/>
                <w:szCs w:val="18"/>
              </w:rPr>
            </w:r>
            <w:r>
              <w:rPr>
                <w:rFonts w:ascii="Arial" w:hAnsi="Arial" w:cs="Arial"/>
                <w:sz w:val="18"/>
                <w:szCs w:val="18"/>
              </w:rPr>
            </w:r>
          </w:p>
        </w:tc>
        <w:tc>
          <w:tcPr>
            <w:tcBorders/>
          </w:tcPr>
          <w:p w14:paraId="4BAF65BD">
            <w:pPr>
              <w:pStyle w:val="874"/>
              <w:pBdr/>
              <w:spacing/>
              <w:ind/>
              <w:jc w:val="right"/>
              <w:rPr>
                <w:rFonts w:ascii="Arial" w:hAnsi="Arial" w:cs="Arial"/>
                <w:sz w:val="18"/>
                <w:szCs w:val="18"/>
              </w:rPr>
            </w:pPr>
            <w:r>
              <w:rPr>
                <w:rFonts w:ascii="Arial" w:hAnsi="Arial" w:eastAsia="Arial" w:cs="Arial"/>
                <w:sz w:val="18"/>
                <w:szCs w:val="18"/>
              </w:rPr>
              <w:t xml:space="preserve">61</w:t>
            </w:r>
            <w:r>
              <w:rPr>
                <w:rFonts w:ascii="Arial" w:hAnsi="Arial" w:cs="Arial"/>
                <w:sz w:val="18"/>
                <w:szCs w:val="18"/>
              </w:rPr>
            </w:r>
            <w:r>
              <w:rPr>
                <w:rFonts w:ascii="Arial" w:hAnsi="Arial" w:cs="Arial"/>
                <w:sz w:val="18"/>
                <w:szCs w:val="18"/>
              </w:rPr>
            </w:r>
          </w:p>
        </w:tc>
      </w:tr>
      <w:tr>
        <w:trPr/>
        <w:tc>
          <w:tcPr>
            <w:tcBorders/>
          </w:tcPr>
          <w:p w14:paraId="167C1A99">
            <w:pPr>
              <w:pStyle w:val="874"/>
              <w:pBdr/>
              <w:spacing/>
              <w:ind/>
              <w:rPr>
                <w:rFonts w:ascii="Arial" w:hAnsi="Arial" w:cs="Arial"/>
                <w:sz w:val="18"/>
                <w:szCs w:val="18"/>
              </w:rPr>
            </w:pPr>
            <w:r>
              <w:rPr>
                <w:rFonts w:ascii="Arial" w:hAnsi="Arial" w:eastAsia="Arial" w:cs="Arial"/>
                <w:sz w:val="18"/>
                <w:szCs w:val="18"/>
              </w:rPr>
              <w:t xml:space="preserve">Field New Deer</w:t>
            </w:r>
            <w:r>
              <w:rPr>
                <w:rFonts w:ascii="Arial" w:hAnsi="Arial" w:cs="Arial"/>
                <w:sz w:val="18"/>
                <w:szCs w:val="18"/>
              </w:rPr>
            </w:r>
            <w:r>
              <w:rPr>
                <w:rFonts w:ascii="Arial" w:hAnsi="Arial" w:cs="Arial"/>
                <w:sz w:val="18"/>
                <w:szCs w:val="18"/>
              </w:rPr>
            </w:r>
          </w:p>
        </w:tc>
        <w:tc>
          <w:tcPr>
            <w:tcBorders/>
          </w:tcPr>
          <w:p w14:paraId="34F4753C">
            <w:pPr>
              <w:pStyle w:val="874"/>
              <w:pBdr/>
              <w:spacing/>
              <w:ind/>
              <w:jc w:val="right"/>
              <w:rPr>
                <w:rFonts w:ascii="Arial" w:hAnsi="Arial" w:cs="Arial"/>
                <w:sz w:val="18"/>
                <w:szCs w:val="18"/>
              </w:rPr>
            </w:pPr>
            <w:r>
              <w:rPr>
                <w:rFonts w:ascii="Arial" w:hAnsi="Arial" w:eastAsia="Arial" w:cs="Arial"/>
                <w:sz w:val="18"/>
                <w:szCs w:val="18"/>
              </w:rPr>
              <w:t xml:space="preserve">1.940</w:t>
            </w:r>
            <w:r>
              <w:rPr>
                <w:rFonts w:ascii="Arial" w:hAnsi="Arial" w:cs="Arial"/>
                <w:sz w:val="18"/>
                <w:szCs w:val="18"/>
              </w:rPr>
            </w:r>
            <w:r>
              <w:rPr>
                <w:rFonts w:ascii="Arial" w:hAnsi="Arial" w:cs="Arial"/>
                <w:sz w:val="18"/>
                <w:szCs w:val="18"/>
              </w:rPr>
            </w:r>
          </w:p>
        </w:tc>
        <w:tc>
          <w:tcPr>
            <w:tcBorders/>
          </w:tcPr>
          <w:p w14:paraId="4ED671EC">
            <w:pPr>
              <w:pStyle w:val="874"/>
              <w:pBdr/>
              <w:spacing/>
              <w:ind/>
              <w:jc w:val="right"/>
              <w:rPr>
                <w:rFonts w:ascii="Arial" w:hAnsi="Arial" w:cs="Arial"/>
                <w:sz w:val="18"/>
                <w:szCs w:val="18"/>
              </w:rPr>
            </w:pPr>
            <w:r>
              <w:rPr>
                <w:rFonts w:ascii="Arial" w:hAnsi="Arial" w:eastAsia="Arial" w:cs="Arial"/>
                <w:sz w:val="18"/>
                <w:szCs w:val="18"/>
              </w:rPr>
              <w:t xml:space="preserve">3.298</w:t>
            </w:r>
            <w:r>
              <w:rPr>
                <w:rFonts w:ascii="Arial" w:hAnsi="Arial" w:cs="Arial"/>
                <w:sz w:val="18"/>
                <w:szCs w:val="18"/>
              </w:rPr>
            </w:r>
            <w:r>
              <w:rPr>
                <w:rFonts w:ascii="Arial" w:hAnsi="Arial" w:cs="Arial"/>
                <w:sz w:val="18"/>
                <w:szCs w:val="18"/>
              </w:rPr>
            </w:r>
          </w:p>
        </w:tc>
        <w:tc>
          <w:tcPr>
            <w:tcBorders/>
          </w:tcPr>
          <w:p w14:paraId="5A854F7D">
            <w:pPr>
              <w:pStyle w:val="874"/>
              <w:pBdr/>
              <w:spacing/>
              <w:ind/>
              <w:jc w:val="right"/>
              <w:rPr>
                <w:rFonts w:ascii="Arial" w:hAnsi="Arial" w:cs="Arial"/>
                <w:sz w:val="18"/>
                <w:szCs w:val="18"/>
              </w:rPr>
            </w:pPr>
            <w:r>
              <w:rPr>
                <w:rFonts w:ascii="Arial" w:hAnsi="Arial" w:eastAsia="Arial" w:cs="Arial"/>
                <w:sz w:val="18"/>
                <w:szCs w:val="18"/>
              </w:rPr>
              <w:t xml:space="preserve">170.2</w:t>
            </w:r>
            <w:r>
              <w:rPr>
                <w:rFonts w:ascii="Arial" w:hAnsi="Arial" w:cs="Arial"/>
                <w:sz w:val="18"/>
                <w:szCs w:val="18"/>
              </w:rPr>
            </w:r>
            <w:r>
              <w:rPr>
                <w:rFonts w:ascii="Arial" w:hAnsi="Arial" w:cs="Arial"/>
                <w:sz w:val="18"/>
                <w:szCs w:val="18"/>
              </w:rPr>
            </w:r>
          </w:p>
        </w:tc>
        <w:tc>
          <w:tcPr>
            <w:tcBorders/>
          </w:tcPr>
          <w:p w14:paraId="6F615255">
            <w:pPr>
              <w:pStyle w:val="874"/>
              <w:pBdr/>
              <w:spacing/>
              <w:ind/>
              <w:jc w:val="right"/>
              <w:rPr>
                <w:rFonts w:ascii="Arial" w:hAnsi="Arial" w:cs="Arial"/>
                <w:sz w:val="18"/>
                <w:szCs w:val="18"/>
              </w:rPr>
            </w:pPr>
            <w:r>
              <w:rPr>
                <w:rFonts w:ascii="Arial" w:hAnsi="Arial" w:eastAsia="Arial" w:cs="Arial"/>
                <w:sz w:val="18"/>
                <w:szCs w:val="18"/>
              </w:rPr>
              <w:t xml:space="preserve">1,741,050</w:t>
            </w:r>
            <w:r>
              <w:rPr>
                <w:rFonts w:ascii="Arial" w:hAnsi="Arial" w:cs="Arial"/>
                <w:sz w:val="18"/>
                <w:szCs w:val="18"/>
              </w:rPr>
            </w:r>
            <w:r>
              <w:rPr>
                <w:rFonts w:ascii="Arial" w:hAnsi="Arial" w:cs="Arial"/>
                <w:sz w:val="18"/>
                <w:szCs w:val="18"/>
              </w:rPr>
            </w:r>
          </w:p>
        </w:tc>
        <w:tc>
          <w:tcPr>
            <w:tcBorders/>
          </w:tcPr>
          <w:p w14:paraId="309DA11F">
            <w:pPr>
              <w:pStyle w:val="874"/>
              <w:pBdr/>
              <w:spacing/>
              <w:ind/>
              <w:jc w:val="right"/>
              <w:rPr>
                <w:rFonts w:ascii="Arial" w:hAnsi="Arial" w:cs="Arial"/>
                <w:sz w:val="18"/>
                <w:szCs w:val="18"/>
              </w:rPr>
            </w:pPr>
            <w:r>
              <w:rPr>
                <w:rFonts w:ascii="Arial" w:hAnsi="Arial" w:eastAsia="Arial" w:cs="Arial"/>
                <w:sz w:val="18"/>
                <w:szCs w:val="18"/>
              </w:rPr>
              <w:t xml:space="preserve">80.41</w:t>
            </w:r>
            <w:r>
              <w:rPr>
                <w:rFonts w:ascii="Arial" w:hAnsi="Arial" w:cs="Arial"/>
                <w:sz w:val="18"/>
                <w:szCs w:val="18"/>
              </w:rPr>
            </w:r>
            <w:r>
              <w:rPr>
                <w:rFonts w:ascii="Arial" w:hAnsi="Arial" w:cs="Arial"/>
                <w:sz w:val="18"/>
                <w:szCs w:val="18"/>
              </w:rPr>
            </w:r>
          </w:p>
        </w:tc>
        <w:tc>
          <w:tcPr>
            <w:tcBorders/>
          </w:tcPr>
          <w:p w14:paraId="2190299E">
            <w:pPr>
              <w:pStyle w:val="874"/>
              <w:pBdr/>
              <w:spacing/>
              <w:ind/>
              <w:jc w:val="right"/>
              <w:rPr>
                <w:rFonts w:ascii="Arial" w:hAnsi="Arial" w:cs="Arial"/>
                <w:sz w:val="18"/>
                <w:szCs w:val="18"/>
              </w:rPr>
            </w:pPr>
            <w:r>
              <w:rPr>
                <w:rFonts w:ascii="Arial" w:hAnsi="Arial" w:eastAsia="Arial" w:cs="Arial"/>
                <w:sz w:val="18"/>
                <w:szCs w:val="18"/>
              </w:rPr>
              <w:t xml:space="preserve">65</w:t>
            </w:r>
            <w:r>
              <w:rPr>
                <w:rFonts w:ascii="Arial" w:hAnsi="Arial" w:cs="Arial"/>
                <w:sz w:val="18"/>
                <w:szCs w:val="18"/>
              </w:rPr>
            </w:r>
            <w:r>
              <w:rPr>
                <w:rFonts w:ascii="Arial" w:hAnsi="Arial" w:cs="Arial"/>
                <w:sz w:val="18"/>
                <w:szCs w:val="18"/>
              </w:rPr>
            </w:r>
          </w:p>
        </w:tc>
      </w:tr>
      <w:tr>
        <w:trPr/>
        <w:tc>
          <w:tcPr>
            <w:tcBorders/>
          </w:tcPr>
          <w:p w14:paraId="526DD6B6">
            <w:pPr>
              <w:pStyle w:val="874"/>
              <w:pBdr/>
              <w:spacing/>
              <w:ind/>
              <w:rPr>
                <w:rFonts w:ascii="Arial" w:hAnsi="Arial" w:cs="Arial"/>
                <w:sz w:val="18"/>
                <w:szCs w:val="18"/>
              </w:rPr>
            </w:pPr>
            <w:r>
              <w:rPr>
                <w:rFonts w:ascii="Arial" w:hAnsi="Arial" w:eastAsia="Arial" w:cs="Arial"/>
                <w:sz w:val="18"/>
                <w:szCs w:val="18"/>
              </w:rPr>
              <w:t xml:space="preserve">Field Rigifa</w:t>
            </w:r>
            <w:r>
              <w:rPr>
                <w:rFonts w:ascii="Arial" w:hAnsi="Arial" w:cs="Arial"/>
                <w:sz w:val="18"/>
                <w:szCs w:val="18"/>
              </w:rPr>
            </w:r>
            <w:r>
              <w:rPr>
                <w:rFonts w:ascii="Arial" w:hAnsi="Arial" w:cs="Arial"/>
                <w:sz w:val="18"/>
                <w:szCs w:val="18"/>
              </w:rPr>
            </w:r>
          </w:p>
        </w:tc>
        <w:tc>
          <w:tcPr>
            <w:tcBorders/>
          </w:tcPr>
          <w:p w14:paraId="1CE51016">
            <w:pPr>
              <w:pStyle w:val="874"/>
              <w:pBdr/>
              <w:spacing/>
              <w:ind/>
              <w:jc w:val="right"/>
              <w:rPr>
                <w:rFonts w:ascii="Arial" w:hAnsi="Arial" w:cs="Arial"/>
                <w:sz w:val="18"/>
                <w:szCs w:val="18"/>
              </w:rPr>
            </w:pPr>
            <w:r>
              <w:rPr>
                <w:rFonts w:ascii="Arial" w:hAnsi="Arial" w:eastAsia="Arial" w:cs="Arial"/>
                <w:sz w:val="18"/>
                <w:szCs w:val="18"/>
              </w:rPr>
              <w:t xml:space="preserve">0.970</w:t>
            </w:r>
            <w:r>
              <w:rPr>
                <w:rFonts w:ascii="Arial" w:hAnsi="Arial" w:cs="Arial"/>
                <w:sz w:val="18"/>
                <w:szCs w:val="18"/>
              </w:rPr>
            </w:r>
            <w:r>
              <w:rPr>
                <w:rFonts w:ascii="Arial" w:hAnsi="Arial" w:cs="Arial"/>
                <w:sz w:val="18"/>
                <w:szCs w:val="18"/>
              </w:rPr>
            </w:r>
          </w:p>
        </w:tc>
        <w:tc>
          <w:tcPr>
            <w:tcBorders/>
          </w:tcPr>
          <w:p w14:paraId="2C9AA9B0">
            <w:pPr>
              <w:pStyle w:val="874"/>
              <w:pBdr/>
              <w:spacing/>
              <w:ind/>
              <w:jc w:val="right"/>
              <w:rPr>
                <w:rFonts w:ascii="Arial" w:hAnsi="Arial" w:cs="Arial"/>
                <w:sz w:val="18"/>
                <w:szCs w:val="18"/>
              </w:rPr>
            </w:pPr>
            <w:r>
              <w:rPr>
                <w:rFonts w:ascii="Arial" w:hAnsi="Arial" w:eastAsia="Arial" w:cs="Arial"/>
                <w:sz w:val="18"/>
                <w:szCs w:val="18"/>
              </w:rPr>
              <w:t xml:space="preserve">1.649</w:t>
            </w:r>
            <w:r>
              <w:rPr>
                <w:rFonts w:ascii="Arial" w:hAnsi="Arial" w:cs="Arial"/>
                <w:sz w:val="18"/>
                <w:szCs w:val="18"/>
              </w:rPr>
            </w:r>
            <w:r>
              <w:rPr>
                <w:rFonts w:ascii="Arial" w:hAnsi="Arial" w:cs="Arial"/>
                <w:sz w:val="18"/>
                <w:szCs w:val="18"/>
              </w:rPr>
            </w:r>
          </w:p>
        </w:tc>
        <w:tc>
          <w:tcPr>
            <w:tcBorders/>
          </w:tcPr>
          <w:p w14:paraId="7E7B439D">
            <w:pPr>
              <w:pStyle w:val="874"/>
              <w:pBdr/>
              <w:spacing/>
              <w:ind/>
              <w:jc w:val="right"/>
              <w:rPr>
                <w:rFonts w:ascii="Arial" w:hAnsi="Arial" w:cs="Arial"/>
                <w:sz w:val="18"/>
                <w:szCs w:val="18"/>
              </w:rPr>
            </w:pPr>
            <w:r>
              <w:rPr>
                <w:rFonts w:ascii="Arial" w:hAnsi="Arial" w:eastAsia="Arial" w:cs="Arial"/>
                <w:sz w:val="18"/>
                <w:szCs w:val="18"/>
              </w:rPr>
              <w:t xml:space="preserve">170.2</w:t>
            </w:r>
            <w:r>
              <w:rPr>
                <w:rFonts w:ascii="Arial" w:hAnsi="Arial" w:cs="Arial"/>
                <w:sz w:val="18"/>
                <w:szCs w:val="18"/>
              </w:rPr>
            </w:r>
            <w:r>
              <w:rPr>
                <w:rFonts w:ascii="Arial" w:hAnsi="Arial" w:cs="Arial"/>
                <w:sz w:val="18"/>
                <w:szCs w:val="18"/>
              </w:rPr>
            </w:r>
          </w:p>
        </w:tc>
        <w:tc>
          <w:tcPr>
            <w:tcBorders/>
          </w:tcPr>
          <w:p w14:paraId="154B0C26">
            <w:pPr>
              <w:pStyle w:val="874"/>
              <w:pBdr/>
              <w:spacing/>
              <w:ind/>
              <w:jc w:val="right"/>
              <w:rPr>
                <w:rFonts w:ascii="Arial" w:hAnsi="Arial" w:cs="Arial"/>
                <w:sz w:val="18"/>
                <w:szCs w:val="18"/>
              </w:rPr>
            </w:pPr>
            <w:r>
              <w:rPr>
                <w:rFonts w:ascii="Arial" w:hAnsi="Arial" w:eastAsia="Arial" w:cs="Arial"/>
                <w:sz w:val="18"/>
                <w:szCs w:val="18"/>
              </w:rPr>
              <w:t xml:space="preserve">870,525</w:t>
            </w:r>
            <w:r>
              <w:rPr>
                <w:rFonts w:ascii="Arial" w:hAnsi="Arial" w:cs="Arial"/>
                <w:sz w:val="18"/>
                <w:szCs w:val="18"/>
              </w:rPr>
            </w:r>
            <w:r>
              <w:rPr>
                <w:rFonts w:ascii="Arial" w:hAnsi="Arial" w:cs="Arial"/>
                <w:sz w:val="18"/>
                <w:szCs w:val="18"/>
              </w:rPr>
            </w:r>
          </w:p>
        </w:tc>
        <w:tc>
          <w:tcPr>
            <w:tcBorders/>
          </w:tcPr>
          <w:p w14:paraId="6F97E1BE">
            <w:pPr>
              <w:pStyle w:val="874"/>
              <w:pBdr/>
              <w:spacing/>
              <w:ind/>
              <w:jc w:val="right"/>
              <w:rPr>
                <w:rFonts w:ascii="Arial" w:hAnsi="Arial" w:cs="Arial"/>
                <w:sz w:val="18"/>
                <w:szCs w:val="18"/>
              </w:rPr>
            </w:pPr>
            <w:r>
              <w:rPr>
                <w:rFonts w:ascii="Arial" w:hAnsi="Arial" w:eastAsia="Arial" w:cs="Arial"/>
                <w:sz w:val="18"/>
                <w:szCs w:val="18"/>
              </w:rPr>
              <w:t xml:space="preserve">40.21</w:t>
            </w:r>
            <w:r>
              <w:rPr>
                <w:rFonts w:ascii="Arial" w:hAnsi="Arial" w:cs="Arial"/>
                <w:sz w:val="18"/>
                <w:szCs w:val="18"/>
              </w:rPr>
            </w:r>
            <w:r>
              <w:rPr>
                <w:rFonts w:ascii="Arial" w:hAnsi="Arial" w:cs="Arial"/>
                <w:sz w:val="18"/>
                <w:szCs w:val="18"/>
              </w:rPr>
            </w:r>
          </w:p>
        </w:tc>
        <w:tc>
          <w:tcPr>
            <w:tcBorders/>
          </w:tcPr>
          <w:p w14:paraId="19058124">
            <w:pPr>
              <w:pStyle w:val="874"/>
              <w:pBdr/>
              <w:spacing/>
              <w:ind/>
              <w:jc w:val="right"/>
              <w:rPr>
                <w:rFonts w:ascii="Arial" w:hAnsi="Arial" w:cs="Arial"/>
                <w:sz w:val="18"/>
                <w:szCs w:val="18"/>
              </w:rPr>
            </w:pPr>
            <w:r>
              <w:rPr>
                <w:rFonts w:ascii="Arial" w:hAnsi="Arial" w:eastAsia="Arial" w:cs="Arial"/>
                <w:sz w:val="18"/>
                <w:szCs w:val="18"/>
              </w:rPr>
              <w:t xml:space="preserve">65</w:t>
            </w:r>
            <w:r>
              <w:rPr>
                <w:rFonts w:ascii="Arial" w:hAnsi="Arial" w:cs="Arial"/>
                <w:sz w:val="18"/>
                <w:szCs w:val="18"/>
              </w:rPr>
            </w:r>
            <w:r>
              <w:rPr>
                <w:rFonts w:ascii="Arial" w:hAnsi="Arial" w:cs="Arial"/>
                <w:sz w:val="18"/>
                <w:szCs w:val="18"/>
              </w:rPr>
            </w:r>
          </w:p>
        </w:tc>
      </w:tr>
      <w:tr>
        <w:trPr/>
        <w:tc>
          <w:tcPr>
            <w:tcBorders/>
          </w:tcPr>
          <w:p w14:paraId="46D682A7">
            <w:pPr>
              <w:pStyle w:val="874"/>
              <w:pBdr/>
              <w:spacing/>
              <w:ind/>
              <w:rPr>
                <w:rFonts w:ascii="Arial" w:hAnsi="Arial" w:cs="Arial"/>
                <w:sz w:val="18"/>
                <w:szCs w:val="18"/>
              </w:rPr>
            </w:pPr>
            <w:r>
              <w:rPr>
                <w:rFonts w:ascii="Arial" w:hAnsi="Arial" w:eastAsia="Arial" w:cs="Arial"/>
                <w:sz w:val="18"/>
                <w:szCs w:val="18"/>
              </w:rPr>
              <w:t xml:space="preserve">Earba</w:t>
            </w:r>
            <w:r>
              <w:rPr>
                <w:rFonts w:ascii="Arial" w:hAnsi="Arial" w:cs="Arial"/>
                <w:sz w:val="18"/>
                <w:szCs w:val="18"/>
              </w:rPr>
            </w:r>
            <w:r>
              <w:rPr>
                <w:rFonts w:ascii="Arial" w:hAnsi="Arial" w:cs="Arial"/>
                <w:sz w:val="18"/>
                <w:szCs w:val="18"/>
              </w:rPr>
            </w:r>
          </w:p>
        </w:tc>
        <w:tc>
          <w:tcPr>
            <w:tcBorders/>
          </w:tcPr>
          <w:p w14:paraId="79CD422D">
            <w:pPr>
              <w:pStyle w:val="874"/>
              <w:pBdr/>
              <w:spacing/>
              <w:ind/>
              <w:jc w:val="right"/>
              <w:rPr>
                <w:rFonts w:ascii="Arial" w:hAnsi="Arial" w:cs="Arial"/>
                <w:sz w:val="18"/>
                <w:szCs w:val="18"/>
              </w:rPr>
            </w:pPr>
            <w:r>
              <w:rPr>
                <w:rFonts w:ascii="Arial" w:hAnsi="Arial" w:eastAsia="Arial" w:cs="Arial"/>
                <w:sz w:val="18"/>
                <w:szCs w:val="18"/>
              </w:rPr>
              <w:t xml:space="preserve">2.700</w:t>
            </w:r>
            <w:r>
              <w:rPr>
                <w:rFonts w:ascii="Arial" w:hAnsi="Arial" w:cs="Arial"/>
                <w:sz w:val="18"/>
                <w:szCs w:val="18"/>
              </w:rPr>
            </w:r>
            <w:r>
              <w:rPr>
                <w:rFonts w:ascii="Arial" w:hAnsi="Arial" w:cs="Arial"/>
                <w:sz w:val="18"/>
                <w:szCs w:val="18"/>
              </w:rPr>
            </w:r>
          </w:p>
        </w:tc>
        <w:tc>
          <w:tcPr>
            <w:tcBorders/>
          </w:tcPr>
          <w:p w14:paraId="211658ED">
            <w:pPr>
              <w:pStyle w:val="874"/>
              <w:pBdr/>
              <w:spacing/>
              <w:ind/>
              <w:jc w:val="right"/>
              <w:rPr>
                <w:rFonts w:ascii="Arial" w:hAnsi="Arial" w:cs="Arial"/>
                <w:sz w:val="18"/>
                <w:szCs w:val="18"/>
              </w:rPr>
            </w:pPr>
            <w:r>
              <w:rPr>
                <w:rFonts w:ascii="Arial" w:hAnsi="Arial" w:eastAsia="Arial" w:cs="Arial"/>
                <w:sz w:val="18"/>
                <w:szCs w:val="18"/>
              </w:rPr>
              <w:t xml:space="preserve">3.105</w:t>
            </w:r>
            <w:r>
              <w:rPr>
                <w:rFonts w:ascii="Arial" w:hAnsi="Arial" w:cs="Arial"/>
                <w:sz w:val="18"/>
                <w:szCs w:val="18"/>
              </w:rPr>
            </w:r>
            <w:r>
              <w:rPr>
                <w:rFonts w:ascii="Arial" w:hAnsi="Arial" w:cs="Arial"/>
                <w:sz w:val="18"/>
                <w:szCs w:val="18"/>
              </w:rPr>
            </w:r>
          </w:p>
        </w:tc>
        <w:tc>
          <w:tcPr>
            <w:tcBorders/>
          </w:tcPr>
          <w:p w14:paraId="67FF8316">
            <w:pPr>
              <w:pStyle w:val="874"/>
              <w:pBdr/>
              <w:spacing/>
              <w:ind/>
              <w:jc w:val="right"/>
              <w:rPr>
                <w:rFonts w:ascii="Arial" w:hAnsi="Arial" w:cs="Arial"/>
                <w:sz w:val="18"/>
                <w:szCs w:val="18"/>
              </w:rPr>
            </w:pPr>
            <w:r>
              <w:rPr>
                <w:rFonts w:ascii="Arial" w:hAnsi="Arial" w:eastAsia="Arial" w:cs="Arial"/>
                <w:sz w:val="18"/>
                <w:szCs w:val="18"/>
              </w:rPr>
              <w:t xml:space="preserve">58.3</w:t>
            </w:r>
            <w:r>
              <w:rPr>
                <w:rFonts w:ascii="Arial" w:hAnsi="Arial" w:cs="Arial"/>
                <w:sz w:val="18"/>
                <w:szCs w:val="18"/>
              </w:rPr>
            </w:r>
            <w:r>
              <w:rPr>
                <w:rFonts w:ascii="Arial" w:hAnsi="Arial" w:cs="Arial"/>
                <w:sz w:val="18"/>
                <w:szCs w:val="18"/>
              </w:rPr>
            </w:r>
          </w:p>
        </w:tc>
        <w:tc>
          <w:tcPr>
            <w:tcBorders/>
          </w:tcPr>
          <w:p w14:paraId="350B2C0D">
            <w:pPr>
              <w:pStyle w:val="874"/>
              <w:pBdr/>
              <w:spacing/>
              <w:ind/>
              <w:jc w:val="right"/>
              <w:rPr>
                <w:rFonts w:ascii="Arial" w:hAnsi="Arial" w:cs="Arial"/>
                <w:sz w:val="18"/>
                <w:szCs w:val="18"/>
              </w:rPr>
            </w:pPr>
            <w:r>
              <w:rPr>
                <w:rFonts w:ascii="Arial" w:hAnsi="Arial" w:eastAsia="Arial" w:cs="Arial"/>
                <w:sz w:val="18"/>
                <w:szCs w:val="18"/>
              </w:rPr>
              <w:t xml:space="preserve">5,004,698</w:t>
            </w:r>
            <w:r>
              <w:rPr>
                <w:rFonts w:ascii="Arial" w:hAnsi="Arial" w:cs="Arial"/>
                <w:sz w:val="18"/>
                <w:szCs w:val="18"/>
              </w:rPr>
            </w:r>
            <w:r>
              <w:rPr>
                <w:rFonts w:ascii="Arial" w:hAnsi="Arial" w:cs="Arial"/>
                <w:sz w:val="18"/>
                <w:szCs w:val="18"/>
              </w:rPr>
            </w:r>
          </w:p>
        </w:tc>
        <w:tc>
          <w:tcPr>
            <w:tcBorders/>
          </w:tcPr>
          <w:p w14:paraId="071EF6E7">
            <w:pPr>
              <w:pStyle w:val="874"/>
              <w:pBdr/>
              <w:spacing/>
              <w:ind/>
              <w:jc w:val="right"/>
              <w:rPr>
                <w:rFonts w:ascii="Arial" w:hAnsi="Arial" w:cs="Arial"/>
                <w:sz w:val="18"/>
                <w:szCs w:val="18"/>
              </w:rPr>
            </w:pPr>
            <w:r>
              <w:rPr>
                <w:rFonts w:ascii="Arial" w:hAnsi="Arial" w:eastAsia="Arial" w:cs="Arial"/>
                <w:sz w:val="18"/>
                <w:szCs w:val="18"/>
              </w:rPr>
              <w:t xml:space="preserve">236.62</w:t>
            </w:r>
            <w:r>
              <w:rPr>
                <w:rFonts w:ascii="Arial" w:hAnsi="Arial" w:cs="Arial"/>
                <w:sz w:val="18"/>
                <w:szCs w:val="18"/>
              </w:rPr>
            </w:r>
            <w:r>
              <w:rPr>
                <w:rFonts w:ascii="Arial" w:hAnsi="Arial" w:cs="Arial"/>
                <w:sz w:val="18"/>
                <w:szCs w:val="18"/>
              </w:rPr>
            </w:r>
          </w:p>
        </w:tc>
        <w:tc>
          <w:tcPr>
            <w:tcBorders/>
          </w:tcPr>
          <w:p w14:paraId="7529AFB9">
            <w:pPr>
              <w:pStyle w:val="874"/>
              <w:pBdr/>
              <w:spacing/>
              <w:ind/>
              <w:jc w:val="right"/>
              <w:rPr>
                <w:rFonts w:ascii="Arial" w:hAnsi="Arial" w:cs="Arial"/>
                <w:sz w:val="18"/>
                <w:szCs w:val="18"/>
              </w:rPr>
            </w:pPr>
            <w:r>
              <w:rPr>
                <w:rFonts w:ascii="Arial" w:hAnsi="Arial" w:eastAsia="Arial" w:cs="Arial"/>
                <w:sz w:val="18"/>
                <w:szCs w:val="18"/>
              </w:rPr>
              <w:t xml:space="preserve">58</w:t>
            </w:r>
            <w:r>
              <w:rPr>
                <w:rFonts w:ascii="Arial" w:hAnsi="Arial" w:cs="Arial"/>
                <w:sz w:val="18"/>
                <w:szCs w:val="18"/>
              </w:rPr>
            </w:r>
            <w:r>
              <w:rPr>
                <w:rFonts w:ascii="Arial" w:hAnsi="Arial" w:cs="Arial"/>
                <w:sz w:val="18"/>
                <w:szCs w:val="18"/>
              </w:rPr>
            </w:r>
          </w:p>
        </w:tc>
      </w:tr>
      <w:tr>
        <w:trPr/>
        <w:tc>
          <w:tcPr>
            <w:tcBorders/>
          </w:tcPr>
          <w:p w14:paraId="331D0338">
            <w:pPr>
              <w:pStyle w:val="874"/>
              <w:pBdr/>
              <w:spacing/>
              <w:ind/>
              <w:rPr>
                <w:rFonts w:ascii="Arial" w:hAnsi="Arial" w:cs="Arial"/>
                <w:sz w:val="18"/>
                <w:szCs w:val="18"/>
              </w:rPr>
            </w:pPr>
            <w:r>
              <w:rPr>
                <w:rFonts w:ascii="Arial" w:hAnsi="Arial" w:eastAsia="Arial" w:cs="Arial"/>
                <w:sz w:val="18"/>
                <w:szCs w:val="18"/>
              </w:rPr>
              <w:t xml:space="preserve">Loch Kemp Storage</w:t>
            </w:r>
            <w:r>
              <w:rPr>
                <w:rFonts w:ascii="Arial" w:hAnsi="Arial" w:cs="Arial"/>
                <w:sz w:val="18"/>
                <w:szCs w:val="18"/>
              </w:rPr>
            </w:r>
            <w:r>
              <w:rPr>
                <w:rFonts w:ascii="Arial" w:hAnsi="Arial" w:cs="Arial"/>
                <w:sz w:val="18"/>
                <w:szCs w:val="18"/>
              </w:rPr>
            </w:r>
          </w:p>
        </w:tc>
        <w:tc>
          <w:tcPr>
            <w:tcBorders/>
          </w:tcPr>
          <w:p w14:paraId="3627EA77">
            <w:pPr>
              <w:pStyle w:val="874"/>
              <w:pBdr/>
              <w:spacing/>
              <w:ind/>
              <w:jc w:val="right"/>
              <w:rPr>
                <w:rFonts w:ascii="Arial" w:hAnsi="Arial" w:cs="Arial"/>
                <w:sz w:val="18"/>
                <w:szCs w:val="18"/>
              </w:rPr>
            </w:pPr>
            <w:r>
              <w:rPr>
                <w:rFonts w:ascii="Arial" w:hAnsi="Arial" w:eastAsia="Arial" w:cs="Arial"/>
                <w:sz w:val="18"/>
                <w:szCs w:val="18"/>
              </w:rPr>
              <w:t xml:space="preserve">1.086</w:t>
            </w:r>
            <w:r>
              <w:rPr>
                <w:rFonts w:ascii="Arial" w:hAnsi="Arial" w:cs="Arial"/>
                <w:sz w:val="18"/>
                <w:szCs w:val="18"/>
              </w:rPr>
            </w:r>
            <w:r>
              <w:rPr>
                <w:rFonts w:ascii="Arial" w:hAnsi="Arial" w:cs="Arial"/>
                <w:sz w:val="18"/>
                <w:szCs w:val="18"/>
              </w:rPr>
            </w:r>
          </w:p>
        </w:tc>
        <w:tc>
          <w:tcPr>
            <w:tcBorders/>
          </w:tcPr>
          <w:p w14:paraId="01650375">
            <w:pPr>
              <w:pStyle w:val="874"/>
              <w:pBdr/>
              <w:spacing/>
              <w:ind/>
              <w:jc w:val="right"/>
              <w:rPr>
                <w:rFonts w:ascii="Arial" w:hAnsi="Arial" w:cs="Arial"/>
                <w:sz w:val="18"/>
                <w:szCs w:val="18"/>
              </w:rPr>
            </w:pPr>
            <w:r>
              <w:rPr>
                <w:rFonts w:ascii="Arial" w:hAnsi="Arial" w:eastAsia="Arial" w:cs="Arial"/>
                <w:sz w:val="18"/>
                <w:szCs w:val="18"/>
              </w:rPr>
              <w:t xml:space="preserve">1.249</w:t>
            </w:r>
            <w:r>
              <w:rPr>
                <w:rFonts w:ascii="Arial" w:hAnsi="Arial" w:cs="Arial"/>
                <w:sz w:val="18"/>
                <w:szCs w:val="18"/>
              </w:rPr>
            </w:r>
            <w:r>
              <w:rPr>
                <w:rFonts w:ascii="Arial" w:hAnsi="Arial" w:cs="Arial"/>
                <w:sz w:val="18"/>
                <w:szCs w:val="18"/>
              </w:rPr>
            </w:r>
          </w:p>
        </w:tc>
        <w:tc>
          <w:tcPr>
            <w:tcBorders/>
          </w:tcPr>
          <w:p w14:paraId="1EA18268">
            <w:pPr>
              <w:pStyle w:val="874"/>
              <w:pBdr/>
              <w:spacing/>
              <w:ind/>
              <w:jc w:val="right"/>
              <w:rPr>
                <w:rFonts w:ascii="Arial" w:hAnsi="Arial" w:cs="Arial"/>
                <w:sz w:val="18"/>
                <w:szCs w:val="18"/>
              </w:rPr>
            </w:pPr>
            <w:r>
              <w:rPr>
                <w:rFonts w:ascii="Arial" w:hAnsi="Arial" w:eastAsia="Arial" w:cs="Arial"/>
                <w:sz w:val="18"/>
                <w:szCs w:val="18"/>
              </w:rPr>
              <w:t xml:space="preserve">30.0</w:t>
            </w:r>
            <w:r>
              <w:rPr>
                <w:rFonts w:ascii="Arial" w:hAnsi="Arial" w:cs="Arial"/>
                <w:sz w:val="18"/>
                <w:szCs w:val="18"/>
              </w:rPr>
            </w:r>
            <w:r>
              <w:rPr>
                <w:rFonts w:ascii="Arial" w:hAnsi="Arial" w:cs="Arial"/>
                <w:sz w:val="18"/>
                <w:szCs w:val="18"/>
              </w:rPr>
            </w:r>
          </w:p>
        </w:tc>
        <w:tc>
          <w:tcPr>
            <w:tcBorders/>
          </w:tcPr>
          <w:p w14:paraId="5796CD5E">
            <w:pPr>
              <w:pStyle w:val="874"/>
              <w:pBdr/>
              <w:spacing/>
              <w:ind/>
              <w:jc w:val="right"/>
              <w:rPr>
                <w:rFonts w:ascii="Arial" w:hAnsi="Arial" w:cs="Arial"/>
                <w:sz w:val="18"/>
                <w:szCs w:val="18"/>
              </w:rPr>
            </w:pPr>
            <w:r>
              <w:rPr>
                <w:rFonts w:ascii="Arial" w:hAnsi="Arial" w:eastAsia="Arial" w:cs="Arial"/>
                <w:sz w:val="18"/>
                <w:szCs w:val="18"/>
              </w:rPr>
              <w:t xml:space="preserve">3,857,431</w:t>
            </w:r>
            <w:r>
              <w:rPr>
                <w:rFonts w:ascii="Arial" w:hAnsi="Arial" w:cs="Arial"/>
                <w:sz w:val="18"/>
                <w:szCs w:val="18"/>
              </w:rPr>
            </w:r>
            <w:r>
              <w:rPr>
                <w:rFonts w:ascii="Arial" w:hAnsi="Arial" w:cs="Arial"/>
                <w:sz w:val="18"/>
                <w:szCs w:val="18"/>
              </w:rPr>
            </w:r>
          </w:p>
        </w:tc>
        <w:tc>
          <w:tcPr>
            <w:tcBorders/>
          </w:tcPr>
          <w:p w14:paraId="6E54E886">
            <w:pPr>
              <w:pStyle w:val="874"/>
              <w:pBdr/>
              <w:spacing/>
              <w:ind/>
              <w:jc w:val="right"/>
              <w:rPr>
                <w:rFonts w:ascii="Arial" w:hAnsi="Arial" w:cs="Arial"/>
                <w:sz w:val="18"/>
                <w:szCs w:val="18"/>
              </w:rPr>
            </w:pPr>
            <w:r>
              <w:rPr>
                <w:rFonts w:ascii="Arial" w:hAnsi="Arial" w:eastAsia="Arial" w:cs="Arial"/>
                <w:sz w:val="18"/>
                <w:szCs w:val="18"/>
              </w:rPr>
              <w:t xml:space="preserve">155.23</w:t>
            </w:r>
            <w:r>
              <w:rPr>
                <w:rFonts w:ascii="Arial" w:hAnsi="Arial" w:cs="Arial"/>
                <w:sz w:val="18"/>
                <w:szCs w:val="18"/>
              </w:rPr>
            </w:r>
            <w:r>
              <w:rPr>
                <w:rFonts w:ascii="Arial" w:hAnsi="Arial" w:cs="Arial"/>
                <w:sz w:val="18"/>
                <w:szCs w:val="18"/>
              </w:rPr>
            </w:r>
          </w:p>
        </w:tc>
        <w:tc>
          <w:tcPr>
            <w:tcBorders/>
          </w:tcPr>
          <w:p w14:paraId="09176FA5">
            <w:pPr>
              <w:pStyle w:val="874"/>
              <w:pBdr/>
              <w:spacing/>
              <w:ind/>
              <w:jc w:val="right"/>
              <w:rPr>
                <w:rFonts w:ascii="Arial" w:hAnsi="Arial" w:cs="Arial"/>
                <w:sz w:val="18"/>
                <w:szCs w:val="18"/>
              </w:rPr>
            </w:pPr>
            <w:r>
              <w:rPr>
                <w:rFonts w:ascii="Arial" w:hAnsi="Arial" w:eastAsia="Arial" w:cs="Arial"/>
                <w:sz w:val="18"/>
                <w:szCs w:val="18"/>
              </w:rPr>
              <w:t xml:space="preserve">76</w:t>
            </w:r>
            <w:r>
              <w:rPr>
                <w:rFonts w:ascii="Arial" w:hAnsi="Arial" w:cs="Arial"/>
                <w:sz w:val="18"/>
                <w:szCs w:val="18"/>
              </w:rPr>
            </w:r>
            <w:r>
              <w:rPr>
                <w:rFonts w:ascii="Arial" w:hAnsi="Arial" w:cs="Arial"/>
                <w:sz w:val="18"/>
                <w:szCs w:val="18"/>
              </w:rPr>
            </w:r>
          </w:p>
        </w:tc>
      </w:tr>
      <w:tr>
        <w:trPr/>
        <w:tc>
          <w:tcPr>
            <w:tcBorders/>
          </w:tcPr>
          <w:p w14:paraId="64C2E9F6">
            <w:pPr>
              <w:pStyle w:val="874"/>
              <w:pBdr/>
              <w:spacing/>
              <w:ind/>
              <w:rPr>
                <w:rFonts w:ascii="Arial" w:hAnsi="Arial" w:cs="Arial"/>
                <w:sz w:val="18"/>
                <w:szCs w:val="18"/>
              </w:rPr>
            </w:pPr>
            <w:r>
              <w:rPr>
                <w:rFonts w:ascii="Arial" w:hAnsi="Arial" w:eastAsia="Arial" w:cs="Arial"/>
                <w:sz w:val="18"/>
                <w:szCs w:val="18"/>
              </w:rPr>
              <w:t xml:space="preserve">Coire Glas</w:t>
            </w:r>
            <w:r>
              <w:rPr>
                <w:rFonts w:ascii="Arial" w:hAnsi="Arial" w:cs="Arial"/>
                <w:sz w:val="18"/>
                <w:szCs w:val="18"/>
              </w:rPr>
            </w:r>
            <w:r>
              <w:rPr>
                <w:rFonts w:ascii="Arial" w:hAnsi="Arial" w:cs="Arial"/>
                <w:sz w:val="18"/>
                <w:szCs w:val="18"/>
              </w:rPr>
            </w:r>
          </w:p>
        </w:tc>
        <w:tc>
          <w:tcPr>
            <w:tcBorders/>
          </w:tcPr>
          <w:p w14:paraId="4264B4FB">
            <w:pPr>
              <w:pStyle w:val="874"/>
              <w:pBdr/>
              <w:spacing/>
              <w:ind/>
              <w:jc w:val="right"/>
              <w:rPr>
                <w:rFonts w:ascii="Arial" w:hAnsi="Arial" w:cs="Arial"/>
                <w:sz w:val="18"/>
                <w:szCs w:val="18"/>
              </w:rPr>
            </w:pPr>
            <w:r>
              <w:rPr>
                <w:rFonts w:ascii="Arial" w:hAnsi="Arial" w:eastAsia="Arial" w:cs="Arial"/>
                <w:sz w:val="18"/>
                <w:szCs w:val="18"/>
              </w:rPr>
              <w:t xml:space="preserve">2.650</w:t>
            </w:r>
            <w:r>
              <w:rPr>
                <w:rFonts w:ascii="Arial" w:hAnsi="Arial" w:cs="Arial"/>
                <w:sz w:val="18"/>
                <w:szCs w:val="18"/>
              </w:rPr>
            </w:r>
            <w:r>
              <w:rPr>
                <w:rFonts w:ascii="Arial" w:hAnsi="Arial" w:cs="Arial"/>
                <w:sz w:val="18"/>
                <w:szCs w:val="18"/>
              </w:rPr>
            </w:r>
          </w:p>
        </w:tc>
        <w:tc>
          <w:tcPr>
            <w:tcBorders/>
          </w:tcPr>
          <w:p w14:paraId="0D1DF5DD">
            <w:pPr>
              <w:pStyle w:val="874"/>
              <w:pBdr/>
              <w:spacing/>
              <w:ind/>
              <w:jc w:val="right"/>
              <w:rPr>
                <w:rFonts w:ascii="Arial" w:hAnsi="Arial" w:cs="Arial"/>
                <w:sz w:val="18"/>
                <w:szCs w:val="18"/>
              </w:rPr>
            </w:pPr>
            <w:r>
              <w:rPr>
                <w:rFonts w:ascii="Arial" w:hAnsi="Arial" w:eastAsia="Arial" w:cs="Arial"/>
                <w:sz w:val="18"/>
                <w:szCs w:val="18"/>
              </w:rPr>
              <w:t xml:space="preserve">3.047</w:t>
            </w:r>
            <w:r>
              <w:rPr>
                <w:rFonts w:ascii="Arial" w:hAnsi="Arial" w:cs="Arial"/>
                <w:sz w:val="18"/>
                <w:szCs w:val="18"/>
              </w:rPr>
            </w:r>
            <w:r>
              <w:rPr>
                <w:rFonts w:ascii="Arial" w:hAnsi="Arial" w:cs="Arial"/>
                <w:sz w:val="18"/>
                <w:szCs w:val="18"/>
              </w:rPr>
            </w:r>
          </w:p>
        </w:tc>
        <w:tc>
          <w:tcPr>
            <w:tcBorders/>
          </w:tcPr>
          <w:p w14:paraId="761EF4FB">
            <w:pPr>
              <w:pStyle w:val="874"/>
              <w:pBdr/>
              <w:spacing/>
              <w:ind/>
              <w:jc w:val="right"/>
              <w:rPr>
                <w:rFonts w:ascii="Arial" w:hAnsi="Arial" w:cs="Arial"/>
                <w:sz w:val="18"/>
                <w:szCs w:val="18"/>
              </w:rPr>
            </w:pPr>
            <w:r>
              <w:rPr>
                <w:rFonts w:ascii="Arial" w:hAnsi="Arial" w:eastAsia="Arial" w:cs="Arial"/>
                <w:sz w:val="18"/>
                <w:szCs w:val="18"/>
              </w:rPr>
              <w:t xml:space="preserve">44.1</w:t>
            </w:r>
            <w:r>
              <w:rPr>
                <w:rFonts w:ascii="Arial" w:hAnsi="Arial" w:cs="Arial"/>
                <w:sz w:val="18"/>
                <w:szCs w:val="18"/>
              </w:rPr>
            </w:r>
            <w:r>
              <w:rPr>
                <w:rFonts w:ascii="Arial" w:hAnsi="Arial" w:cs="Arial"/>
                <w:sz w:val="18"/>
                <w:szCs w:val="18"/>
              </w:rPr>
            </w:r>
          </w:p>
        </w:tc>
        <w:tc>
          <w:tcPr>
            <w:tcBorders/>
          </w:tcPr>
          <w:p w14:paraId="0742C7DE">
            <w:pPr>
              <w:pStyle w:val="874"/>
              <w:pBdr/>
              <w:spacing/>
              <w:ind/>
              <w:jc w:val="right"/>
              <w:rPr>
                <w:rFonts w:ascii="Arial" w:hAnsi="Arial" w:cs="Arial"/>
                <w:sz w:val="18"/>
                <w:szCs w:val="18"/>
              </w:rPr>
            </w:pPr>
            <w:r>
              <w:rPr>
                <w:rFonts w:ascii="Arial" w:hAnsi="Arial" w:eastAsia="Arial" w:cs="Arial"/>
                <w:sz w:val="18"/>
                <w:szCs w:val="18"/>
              </w:rPr>
              <w:t xml:space="preserve">6,301,440</w:t>
            </w:r>
            <w:r>
              <w:rPr>
                <w:rFonts w:ascii="Arial" w:hAnsi="Arial" w:cs="Arial"/>
                <w:sz w:val="18"/>
                <w:szCs w:val="18"/>
              </w:rPr>
            </w:r>
            <w:r>
              <w:rPr>
                <w:rFonts w:ascii="Arial" w:hAnsi="Arial" w:cs="Arial"/>
                <w:sz w:val="18"/>
                <w:szCs w:val="18"/>
              </w:rPr>
            </w:r>
          </w:p>
        </w:tc>
        <w:tc>
          <w:tcPr>
            <w:tcBorders/>
          </w:tcPr>
          <w:p w14:paraId="19277621">
            <w:pPr>
              <w:pStyle w:val="874"/>
              <w:pBdr/>
              <w:spacing/>
              <w:ind/>
              <w:jc w:val="right"/>
              <w:rPr>
                <w:rFonts w:ascii="Arial" w:hAnsi="Arial" w:cs="Arial"/>
                <w:sz w:val="18"/>
                <w:szCs w:val="18"/>
              </w:rPr>
            </w:pPr>
            <w:r>
              <w:rPr>
                <w:rFonts w:ascii="Arial" w:hAnsi="Arial" w:eastAsia="Arial" w:cs="Arial"/>
                <w:sz w:val="18"/>
                <w:szCs w:val="18"/>
              </w:rPr>
              <w:t xml:space="preserve">331.15</w:t>
            </w:r>
            <w:r>
              <w:rPr>
                <w:rFonts w:ascii="Arial" w:hAnsi="Arial" w:cs="Arial"/>
                <w:sz w:val="18"/>
                <w:szCs w:val="18"/>
              </w:rPr>
            </w:r>
            <w:r>
              <w:rPr>
                <w:rFonts w:ascii="Arial" w:hAnsi="Arial" w:cs="Arial"/>
                <w:sz w:val="18"/>
                <w:szCs w:val="18"/>
              </w:rPr>
            </w:r>
          </w:p>
        </w:tc>
        <w:tc>
          <w:tcPr>
            <w:tcBorders/>
          </w:tcPr>
          <w:p w14:paraId="77C2EF89">
            <w:pPr>
              <w:pStyle w:val="874"/>
              <w:pBdr/>
              <w:spacing/>
              <w:ind/>
              <w:jc w:val="right"/>
              <w:rPr>
                <w:rFonts w:ascii="Arial" w:hAnsi="Arial" w:cs="Arial"/>
                <w:sz w:val="18"/>
                <w:szCs w:val="18"/>
              </w:rPr>
            </w:pPr>
            <w:r>
              <w:rPr>
                <w:rFonts w:ascii="Arial" w:hAnsi="Arial" w:eastAsia="Arial" w:cs="Arial"/>
                <w:sz w:val="18"/>
                <w:szCs w:val="18"/>
              </w:rPr>
              <w:t xml:space="preserve">80</w:t>
            </w:r>
            <w:bookmarkEnd w:id="21"/>
            <w:r>
              <w:rPr>
                <w:rFonts w:ascii="Arial" w:hAnsi="Arial" w:cs="Arial"/>
                <w:sz w:val="18"/>
                <w:szCs w:val="18"/>
              </w:rPr>
            </w:r>
            <w:r>
              <w:rPr>
                <w:rFonts w:ascii="Arial" w:hAnsi="Arial" w:cs="Arial"/>
                <w:sz w:val="18"/>
                <w:szCs w:val="18"/>
              </w:rPr>
            </w:r>
          </w:p>
        </w:tc>
      </w:tr>
    </w:tbl>
    <w:p w14:paraId="3B3028CD">
      <w:pPr>
        <w:pStyle w:val="886"/>
        <w:pBdr/>
        <w:spacing/>
        <w:ind/>
        <w:rPr>
          <w:rFonts w:ascii="Arial" w:hAnsi="Arial" w:cs="Arial"/>
          <w:sz w:val="18"/>
          <w:szCs w:val="18"/>
        </w:rPr>
      </w:pPr>
      <w:r>
        <w:rPr>
          <w:rFonts w:ascii="Arial" w:hAnsi="Arial" w:eastAsia="Arial" w:cs="Arial"/>
          <w:sz w:val="18"/>
          <w:szCs w:val="18"/>
        </w:rPr>
      </w:r>
      <w:bookmarkStart w:id="22" w:name="c.3-headline-modelled-support-result"/>
      <w:r>
        <w:rPr>
          <w:rFonts w:ascii="Arial" w:hAnsi="Arial" w:eastAsia="Arial" w:cs="Arial"/>
          <w:sz w:val="18"/>
          <w:szCs w:val="18"/>
        </w:rPr>
        <w:t xml:space="preserve">C.3 Headline Modelled Support Result</w:t>
      </w:r>
      <w:r>
        <w:rPr>
          <w:rFonts w:ascii="Arial" w:hAnsi="Arial" w:cs="Arial"/>
          <w:sz w:val="18"/>
          <w:szCs w:val="18"/>
        </w:rPr>
      </w:r>
      <w:r>
        <w:rPr>
          <w:rFonts w:ascii="Arial" w:hAnsi="Arial" w:cs="Arial"/>
          <w:sz w:val="18"/>
          <w:szCs w:val="18"/>
        </w:rPr>
      </w:r>
    </w:p>
    <w:tbl>
      <w:tblPr>
        <w:tblStyle w:val="906"/>
        <w:tblW w:w="5000" w:type="pct"/>
        <w:tblBorders/>
        <w:tblLayout w:type="fixed"/>
        <w:tblLook w:val="0020" w:firstRow="1" w:lastRow="0" w:firstColumn="0" w:lastColumn="0" w:noHBand="0" w:noVBand="0"/>
      </w:tblPr>
      <w:tblGrid>
        <w:gridCol w:w="1397"/>
        <w:gridCol w:w="1397"/>
        <w:gridCol w:w="1863"/>
        <w:gridCol w:w="1397"/>
        <w:gridCol w:w="1863"/>
      </w:tblGrid>
      <w:tr>
        <w:trPr>
          <w:tblHeader/>
        </w:trPr>
        <w:tc>
          <w:tcPr>
            <w:tcBorders/>
          </w:tcPr>
          <w:p w14:paraId="63BDE167">
            <w:pPr>
              <w:pStyle w:val="874"/>
              <w:pBdr/>
              <w:spacing/>
              <w:ind/>
              <w:rPr>
                <w:rFonts w:ascii="Arial" w:hAnsi="Arial" w:cs="Arial"/>
                <w:sz w:val="18"/>
                <w:szCs w:val="18"/>
              </w:rPr>
            </w:pPr>
            <w:r>
              <w:rPr>
                <w:rFonts w:ascii="Arial" w:hAnsi="Arial" w:eastAsia="Arial" w:cs="Arial"/>
                <w:sz w:val="18"/>
                <w:szCs w:val="18"/>
              </w:rPr>
              <w:t xml:space="preserve">Project</w:t>
            </w:r>
            <w:r>
              <w:rPr>
                <w:rFonts w:ascii="Arial" w:hAnsi="Arial" w:cs="Arial"/>
                <w:sz w:val="18"/>
                <w:szCs w:val="18"/>
              </w:rPr>
            </w:r>
            <w:r>
              <w:rPr>
                <w:rFonts w:ascii="Arial" w:hAnsi="Arial" w:cs="Arial"/>
                <w:sz w:val="18"/>
                <w:szCs w:val="18"/>
              </w:rPr>
            </w:r>
          </w:p>
        </w:tc>
        <w:tc>
          <w:tcPr>
            <w:tcBorders/>
          </w:tcPr>
          <w:p w14:paraId="207451BF">
            <w:pPr>
              <w:pStyle w:val="874"/>
              <w:pBdr/>
              <w:spacing/>
              <w:ind/>
              <w:rPr>
                <w:rFonts w:ascii="Arial" w:hAnsi="Arial" w:cs="Arial"/>
                <w:sz w:val="18"/>
                <w:szCs w:val="18"/>
              </w:rPr>
            </w:pPr>
            <w:r>
              <w:rPr>
                <w:rFonts w:ascii="Arial" w:hAnsi="Arial" w:eastAsia="Arial" w:cs="Arial"/>
                <w:sz w:val="18"/>
                <w:szCs w:val="18"/>
              </w:rPr>
              <w:t xml:space="preserve">Technology</w:t>
            </w:r>
            <w:r>
              <w:rPr>
                <w:rFonts w:ascii="Arial" w:hAnsi="Arial" w:cs="Arial"/>
                <w:sz w:val="18"/>
                <w:szCs w:val="18"/>
              </w:rPr>
            </w:r>
            <w:r>
              <w:rPr>
                <w:rFonts w:ascii="Arial" w:hAnsi="Arial" w:cs="Arial"/>
                <w:sz w:val="18"/>
                <w:szCs w:val="18"/>
              </w:rPr>
            </w:r>
          </w:p>
        </w:tc>
        <w:tc>
          <w:tcPr>
            <w:tcBorders/>
          </w:tcPr>
          <w:p w14:paraId="48F69C28">
            <w:pPr>
              <w:pStyle w:val="874"/>
              <w:pBdr/>
              <w:spacing/>
              <w:ind/>
              <w:jc w:val="right"/>
              <w:rPr>
                <w:rFonts w:ascii="Arial" w:hAnsi="Arial" w:cs="Arial"/>
                <w:sz w:val="18"/>
                <w:szCs w:val="18"/>
              </w:rPr>
            </w:pPr>
            <w:r>
              <w:rPr>
                <w:rFonts w:ascii="Arial" w:hAnsi="Arial" w:eastAsia="Arial" w:cs="Arial"/>
                <w:sz w:val="18"/>
                <w:szCs w:val="18"/>
              </w:rPr>
              <w:t xml:space="preserve">Duration</w:t>
            </w:r>
            <w:r>
              <w:rPr>
                <w:rFonts w:ascii="Arial" w:hAnsi="Arial" w:cs="Arial"/>
                <w:sz w:val="18"/>
                <w:szCs w:val="18"/>
              </w:rPr>
            </w:r>
            <w:r>
              <w:rPr>
                <w:rFonts w:ascii="Arial" w:hAnsi="Arial" w:cs="Arial"/>
                <w:sz w:val="18"/>
                <w:szCs w:val="18"/>
              </w:rPr>
            </w:r>
          </w:p>
        </w:tc>
        <w:tc>
          <w:tcPr>
            <w:tcBorders/>
          </w:tcPr>
          <w:p w14:paraId="37C65050">
            <w:pPr>
              <w:pStyle w:val="874"/>
              <w:pBdr/>
              <w:spacing/>
              <w:ind/>
              <w:rPr>
                <w:rFonts w:ascii="Arial" w:hAnsi="Arial" w:cs="Arial"/>
                <w:sz w:val="18"/>
                <w:szCs w:val="18"/>
              </w:rPr>
            </w:pPr>
            <w:r>
              <w:rPr>
                <w:rFonts w:ascii="Arial" w:hAnsi="Arial" w:eastAsia="Arial" w:cs="Arial"/>
                <w:sz w:val="18"/>
                <w:szCs w:val="18"/>
              </w:rPr>
              <w:t xml:space="preserve">RRT</w:t>
            </w:r>
            <w:r>
              <w:rPr>
                <w:rFonts w:ascii="Arial" w:hAnsi="Arial" w:cs="Arial"/>
                <w:sz w:val="18"/>
                <w:szCs w:val="18"/>
              </w:rPr>
            </w:r>
            <w:r>
              <w:rPr>
                <w:rFonts w:ascii="Arial" w:hAnsi="Arial" w:cs="Arial"/>
                <w:sz w:val="18"/>
                <w:szCs w:val="18"/>
              </w:rPr>
            </w:r>
          </w:p>
        </w:tc>
        <w:tc>
          <w:tcPr>
            <w:tcBorders/>
          </w:tcPr>
          <w:p w14:paraId="2CAB1BE3">
            <w:pPr>
              <w:pStyle w:val="874"/>
              <w:pBdr/>
              <w:spacing/>
              <w:ind/>
              <w:jc w:val="right"/>
              <w:rPr>
                <w:rFonts w:ascii="Arial" w:hAnsi="Arial" w:cs="Arial"/>
                <w:sz w:val="18"/>
                <w:szCs w:val="18"/>
              </w:rPr>
            </w:pPr>
            <w:r>
              <w:rPr>
                <w:rFonts w:ascii="Arial" w:hAnsi="Arial" w:eastAsia="Arial" w:cs="Arial"/>
                <w:sz w:val="18"/>
                <w:szCs w:val="18"/>
              </w:rPr>
              <w:t xml:space="preserve">Modelled Equivalent Annual Residual Support</w:t>
            </w:r>
            <w:r>
              <w:rPr>
                <w:rFonts w:ascii="Arial" w:hAnsi="Arial" w:cs="Arial"/>
                <w:sz w:val="18"/>
                <w:szCs w:val="18"/>
              </w:rPr>
            </w:r>
            <w:r>
              <w:rPr>
                <w:rFonts w:ascii="Arial" w:hAnsi="Arial" w:cs="Arial"/>
                <w:sz w:val="18"/>
                <w:szCs w:val="18"/>
              </w:rPr>
            </w:r>
          </w:p>
        </w:tc>
      </w:tr>
      <w:tr>
        <w:trPr/>
        <w:tc>
          <w:tcPr>
            <w:tcBorders/>
          </w:tcPr>
          <w:p w14:paraId="43AA7C9D">
            <w:pPr>
              <w:pStyle w:val="874"/>
              <w:pBdr/>
              <w:spacing/>
              <w:ind/>
              <w:rPr>
                <w:rFonts w:ascii="Arial" w:hAnsi="Arial" w:cs="Arial"/>
                <w:sz w:val="18"/>
                <w:szCs w:val="18"/>
              </w:rPr>
            </w:pPr>
            <w:r>
              <w:rPr>
                <w:rFonts w:ascii="Arial" w:hAnsi="Arial" w:eastAsia="Arial" w:cs="Arial"/>
                <w:sz w:val="18"/>
                <w:szCs w:val="18"/>
              </w:rPr>
              <w:t xml:space="preserve">TeesCAES</w:t>
            </w:r>
            <w:r>
              <w:rPr>
                <w:rFonts w:ascii="Arial" w:hAnsi="Arial" w:cs="Arial"/>
                <w:sz w:val="18"/>
                <w:szCs w:val="18"/>
              </w:rPr>
            </w:r>
            <w:r>
              <w:rPr>
                <w:rFonts w:ascii="Arial" w:hAnsi="Arial" w:cs="Arial"/>
                <w:sz w:val="18"/>
                <w:szCs w:val="18"/>
              </w:rPr>
            </w:r>
          </w:p>
        </w:tc>
        <w:tc>
          <w:tcPr>
            <w:tcBorders/>
          </w:tcPr>
          <w:p w14:paraId="5809DF85">
            <w:pPr>
              <w:pStyle w:val="874"/>
              <w:pBdr/>
              <w:spacing/>
              <w:ind/>
              <w:rPr>
                <w:rFonts w:ascii="Arial" w:hAnsi="Arial" w:cs="Arial"/>
                <w:sz w:val="18"/>
                <w:szCs w:val="18"/>
              </w:rPr>
            </w:pPr>
            <w:r>
              <w:rPr>
                <w:rFonts w:ascii="Arial" w:hAnsi="Arial" w:eastAsia="Arial" w:cs="Arial"/>
                <w:sz w:val="18"/>
                <w:szCs w:val="18"/>
              </w:rPr>
              <w:t xml:space="preserve">CAES</w:t>
            </w:r>
            <w:r>
              <w:rPr>
                <w:rFonts w:ascii="Arial" w:hAnsi="Arial" w:cs="Arial"/>
                <w:sz w:val="18"/>
                <w:szCs w:val="18"/>
              </w:rPr>
            </w:r>
            <w:r>
              <w:rPr>
                <w:rFonts w:ascii="Arial" w:hAnsi="Arial" w:cs="Arial"/>
                <w:sz w:val="18"/>
                <w:szCs w:val="18"/>
              </w:rPr>
            </w:r>
          </w:p>
        </w:tc>
        <w:tc>
          <w:tcPr>
            <w:tcBorders/>
          </w:tcPr>
          <w:p w14:paraId="61AD019D">
            <w:pPr>
              <w:pStyle w:val="874"/>
              <w:pBdr/>
              <w:spacing/>
              <w:ind/>
              <w:jc w:val="right"/>
              <w:rPr>
                <w:rFonts w:ascii="Arial" w:hAnsi="Arial" w:cs="Arial"/>
                <w:sz w:val="18"/>
                <w:szCs w:val="18"/>
              </w:rPr>
            </w:pPr>
            <w:r>
              <w:rPr>
                <w:rFonts w:ascii="Arial" w:hAnsi="Arial" w:eastAsia="Arial" w:cs="Arial"/>
                <w:sz w:val="18"/>
                <w:szCs w:val="18"/>
              </w:rPr>
              <w:t xml:space="preserve">30.0h</w:t>
            </w:r>
            <w:r>
              <w:rPr>
                <w:rFonts w:ascii="Arial" w:hAnsi="Arial" w:cs="Arial"/>
                <w:sz w:val="18"/>
                <w:szCs w:val="18"/>
              </w:rPr>
            </w:r>
            <w:r>
              <w:rPr>
                <w:rFonts w:ascii="Arial" w:hAnsi="Arial" w:cs="Arial"/>
                <w:sz w:val="18"/>
                <w:szCs w:val="18"/>
              </w:rPr>
            </w:r>
          </w:p>
        </w:tc>
        <w:tc>
          <w:tcPr>
            <w:tcBorders/>
          </w:tcPr>
          <w:p w14:paraId="68C1C2DD">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5A8E7113">
            <w:pPr>
              <w:pStyle w:val="874"/>
              <w:pBdr/>
              <w:spacing/>
              <w:ind/>
              <w:jc w:val="right"/>
              <w:rPr>
                <w:rFonts w:ascii="Arial" w:hAnsi="Arial" w:cs="Arial"/>
                <w:sz w:val="18"/>
                <w:szCs w:val="18"/>
              </w:rPr>
            </w:pPr>
            <w:r>
              <w:rPr>
                <w:rFonts w:ascii="Arial" w:hAnsi="Arial" w:eastAsia="Arial" w:cs="Arial"/>
                <w:sz w:val="18"/>
                <w:szCs w:val="18"/>
              </w:rPr>
              <w:t xml:space="preserve">£157k/MW/yr</w:t>
            </w:r>
            <w:r>
              <w:rPr>
                <w:rFonts w:ascii="Arial" w:hAnsi="Arial" w:cs="Arial"/>
                <w:sz w:val="18"/>
                <w:szCs w:val="18"/>
              </w:rPr>
            </w:r>
            <w:r>
              <w:rPr>
                <w:rFonts w:ascii="Arial" w:hAnsi="Arial" w:cs="Arial"/>
                <w:sz w:val="18"/>
                <w:szCs w:val="18"/>
              </w:rPr>
            </w:r>
          </w:p>
        </w:tc>
      </w:tr>
      <w:tr>
        <w:trPr/>
        <w:tc>
          <w:tcPr>
            <w:tcBorders/>
          </w:tcPr>
          <w:p w14:paraId="7BF72E78">
            <w:pPr>
              <w:pStyle w:val="874"/>
              <w:pBdr/>
              <w:spacing/>
              <w:ind/>
              <w:rPr>
                <w:rFonts w:ascii="Arial" w:hAnsi="Arial" w:cs="Arial"/>
                <w:sz w:val="18"/>
                <w:szCs w:val="18"/>
              </w:rPr>
            </w:pPr>
            <w:r>
              <w:rPr>
                <w:rFonts w:ascii="Arial" w:hAnsi="Arial" w:eastAsia="Arial" w:cs="Arial"/>
                <w:sz w:val="18"/>
                <w:szCs w:val="18"/>
              </w:rPr>
              <w:t xml:space="preserve">Frontier Legacy</w:t>
            </w:r>
            <w:r>
              <w:rPr>
                <w:rFonts w:ascii="Arial" w:hAnsi="Arial" w:cs="Arial"/>
                <w:sz w:val="18"/>
                <w:szCs w:val="18"/>
              </w:rPr>
            </w:r>
            <w:r>
              <w:rPr>
                <w:rFonts w:ascii="Arial" w:hAnsi="Arial" w:cs="Arial"/>
                <w:sz w:val="18"/>
                <w:szCs w:val="18"/>
              </w:rPr>
            </w:r>
          </w:p>
        </w:tc>
        <w:tc>
          <w:tcPr>
            <w:tcBorders/>
          </w:tcPr>
          <w:p w14:paraId="619CD310">
            <w:pPr>
              <w:pStyle w:val="874"/>
              <w:pBdr/>
              <w:spacing/>
              <w:ind/>
              <w:rPr>
                <w:rFonts w:ascii="Arial" w:hAnsi="Arial" w:cs="Arial"/>
                <w:sz w:val="18"/>
                <w:szCs w:val="18"/>
              </w:rPr>
            </w:pPr>
            <w:r>
              <w:rPr>
                <w:rFonts w:ascii="Arial" w:hAnsi="Arial" w:eastAsia="Arial" w:cs="Arial"/>
                <w:sz w:val="18"/>
                <w:szCs w:val="18"/>
              </w:rPr>
              <w:t xml:space="preserve">VFB/Zn</w:t>
            </w:r>
            <w:r>
              <w:rPr>
                <w:rFonts w:ascii="Arial" w:hAnsi="Arial" w:cs="Arial"/>
                <w:sz w:val="18"/>
                <w:szCs w:val="18"/>
              </w:rPr>
            </w:r>
            <w:r>
              <w:rPr>
                <w:rFonts w:ascii="Arial" w:hAnsi="Arial" w:cs="Arial"/>
                <w:sz w:val="18"/>
                <w:szCs w:val="18"/>
              </w:rPr>
            </w:r>
          </w:p>
        </w:tc>
        <w:tc>
          <w:tcPr>
            <w:tcBorders/>
          </w:tcPr>
          <w:p w14:paraId="4FF486D7">
            <w:pPr>
              <w:pStyle w:val="874"/>
              <w:pBdr/>
              <w:spacing/>
              <w:ind/>
              <w:jc w:val="right"/>
              <w:rPr>
                <w:rFonts w:ascii="Arial" w:hAnsi="Arial" w:cs="Arial"/>
                <w:sz w:val="18"/>
                <w:szCs w:val="18"/>
              </w:rPr>
            </w:pPr>
            <w:r>
              <w:rPr>
                <w:rFonts w:ascii="Arial" w:hAnsi="Arial" w:eastAsia="Arial" w:cs="Arial"/>
                <w:sz w:val="18"/>
                <w:szCs w:val="18"/>
              </w:rPr>
              <w:t xml:space="preserve">8.0h</w:t>
            </w:r>
            <w:r>
              <w:rPr>
                <w:rFonts w:ascii="Arial" w:hAnsi="Arial" w:cs="Arial"/>
                <w:sz w:val="18"/>
                <w:szCs w:val="18"/>
              </w:rPr>
            </w:r>
            <w:r>
              <w:rPr>
                <w:rFonts w:ascii="Arial" w:hAnsi="Arial" w:cs="Arial"/>
                <w:sz w:val="18"/>
                <w:szCs w:val="18"/>
              </w:rPr>
            </w:r>
          </w:p>
        </w:tc>
        <w:tc>
          <w:tcPr>
            <w:tcBorders/>
          </w:tcPr>
          <w:p w14:paraId="699C7BCB">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7EC74B72">
            <w:pPr>
              <w:pStyle w:val="874"/>
              <w:pBdr/>
              <w:spacing/>
              <w:ind/>
              <w:jc w:val="right"/>
              <w:rPr>
                <w:rFonts w:ascii="Arial" w:hAnsi="Arial" w:cs="Arial"/>
                <w:sz w:val="18"/>
                <w:szCs w:val="18"/>
              </w:rPr>
            </w:pPr>
            <w:r>
              <w:rPr>
                <w:rFonts w:ascii="Arial" w:hAnsi="Arial" w:eastAsia="Arial" w:cs="Arial"/>
                <w:sz w:val="18"/>
                <w:szCs w:val="18"/>
              </w:rPr>
              <w:t xml:space="preserve">£133k/MW/yr</w:t>
            </w:r>
            <w:r>
              <w:rPr>
                <w:rFonts w:ascii="Arial" w:hAnsi="Arial" w:cs="Arial"/>
                <w:sz w:val="18"/>
                <w:szCs w:val="18"/>
              </w:rPr>
            </w:r>
            <w:r>
              <w:rPr>
                <w:rFonts w:ascii="Arial" w:hAnsi="Arial" w:cs="Arial"/>
                <w:sz w:val="18"/>
                <w:szCs w:val="18"/>
              </w:rPr>
            </w:r>
          </w:p>
        </w:tc>
      </w:tr>
      <w:tr>
        <w:trPr/>
        <w:tc>
          <w:tcPr>
            <w:tcBorders/>
          </w:tcPr>
          <w:p w14:paraId="19B251F7">
            <w:pPr>
              <w:pStyle w:val="874"/>
              <w:pBdr/>
              <w:spacing/>
              <w:ind/>
              <w:rPr>
                <w:rFonts w:ascii="Arial" w:hAnsi="Arial" w:cs="Arial"/>
                <w:sz w:val="18"/>
                <w:szCs w:val="18"/>
              </w:rPr>
            </w:pPr>
            <w:r>
              <w:rPr>
                <w:rFonts w:ascii="Arial" w:hAnsi="Arial" w:eastAsia="Arial" w:cs="Arial"/>
                <w:sz w:val="18"/>
                <w:szCs w:val="18"/>
              </w:rPr>
              <w:t xml:space="preserve">Ocker Hill BESS</w:t>
            </w:r>
            <w:r>
              <w:rPr>
                <w:rFonts w:ascii="Arial" w:hAnsi="Arial" w:cs="Arial"/>
                <w:sz w:val="18"/>
                <w:szCs w:val="18"/>
              </w:rPr>
            </w:r>
            <w:r>
              <w:rPr>
                <w:rFonts w:ascii="Arial" w:hAnsi="Arial" w:cs="Arial"/>
                <w:sz w:val="18"/>
                <w:szCs w:val="18"/>
              </w:rPr>
            </w:r>
          </w:p>
        </w:tc>
        <w:tc>
          <w:tcPr>
            <w:tcBorders/>
          </w:tcPr>
          <w:p w14:paraId="0887EB99">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6AD6615E">
            <w:pPr>
              <w:pStyle w:val="874"/>
              <w:pBdr/>
              <w:spacing/>
              <w:ind/>
              <w:jc w:val="right"/>
              <w:rPr>
                <w:rFonts w:ascii="Arial" w:hAnsi="Arial" w:cs="Arial"/>
                <w:sz w:val="18"/>
                <w:szCs w:val="18"/>
              </w:rPr>
            </w:pPr>
            <w:r>
              <w:rPr>
                <w:rFonts w:ascii="Arial" w:hAnsi="Arial" w:eastAsia="Arial" w:cs="Arial"/>
                <w:sz w:val="18"/>
                <w:szCs w:val="18"/>
              </w:rPr>
              <w:t xml:space="preserve">8.0h</w:t>
            </w:r>
            <w:r>
              <w:rPr>
                <w:rFonts w:ascii="Arial" w:hAnsi="Arial" w:cs="Arial"/>
                <w:sz w:val="18"/>
                <w:szCs w:val="18"/>
              </w:rPr>
            </w:r>
            <w:r>
              <w:rPr>
                <w:rFonts w:ascii="Arial" w:hAnsi="Arial" w:cs="Arial"/>
                <w:sz w:val="18"/>
                <w:szCs w:val="18"/>
              </w:rPr>
            </w:r>
          </w:p>
        </w:tc>
        <w:tc>
          <w:tcPr>
            <w:tcBorders/>
          </w:tcPr>
          <w:p w14:paraId="1A89CEC9">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75AC4C3A">
            <w:pPr>
              <w:pStyle w:val="874"/>
              <w:pBdr/>
              <w:spacing/>
              <w:ind/>
              <w:jc w:val="right"/>
              <w:rPr>
                <w:rFonts w:ascii="Arial" w:hAnsi="Arial" w:cs="Arial"/>
                <w:sz w:val="18"/>
                <w:szCs w:val="18"/>
              </w:rPr>
            </w:pPr>
            <w:r>
              <w:rPr>
                <w:rFonts w:ascii="Arial" w:hAnsi="Arial" w:eastAsia="Arial" w:cs="Arial"/>
                <w:sz w:val="18"/>
                <w:szCs w:val="18"/>
              </w:rPr>
              <w:t xml:space="preserve">£169k/MW/yr</w:t>
            </w:r>
            <w:r>
              <w:rPr>
                <w:rFonts w:ascii="Arial" w:hAnsi="Arial" w:cs="Arial"/>
                <w:sz w:val="18"/>
                <w:szCs w:val="18"/>
              </w:rPr>
            </w:r>
            <w:r>
              <w:rPr>
                <w:rFonts w:ascii="Arial" w:hAnsi="Arial" w:cs="Arial"/>
                <w:sz w:val="18"/>
                <w:szCs w:val="18"/>
              </w:rPr>
            </w:r>
          </w:p>
        </w:tc>
      </w:tr>
      <w:tr>
        <w:trPr/>
        <w:tc>
          <w:tcPr>
            <w:tcBorders/>
          </w:tcPr>
          <w:p w14:paraId="7D5290A3">
            <w:pPr>
              <w:pStyle w:val="874"/>
              <w:pBdr/>
              <w:spacing/>
              <w:ind/>
              <w:rPr>
                <w:rFonts w:ascii="Arial" w:hAnsi="Arial" w:cs="Arial"/>
                <w:sz w:val="18"/>
                <w:szCs w:val="18"/>
              </w:rPr>
            </w:pPr>
            <w:r>
              <w:rPr>
                <w:rFonts w:ascii="Arial" w:hAnsi="Arial" w:eastAsia="Arial" w:cs="Arial"/>
                <w:sz w:val="18"/>
                <w:szCs w:val="18"/>
              </w:rPr>
              <w:t xml:space="preserve">Sundon Storage</w:t>
            </w:r>
            <w:r>
              <w:rPr>
                <w:rFonts w:ascii="Arial" w:hAnsi="Arial" w:cs="Arial"/>
                <w:sz w:val="18"/>
                <w:szCs w:val="18"/>
              </w:rPr>
            </w:r>
            <w:r>
              <w:rPr>
                <w:rFonts w:ascii="Arial" w:hAnsi="Arial" w:cs="Arial"/>
                <w:sz w:val="18"/>
                <w:szCs w:val="18"/>
              </w:rPr>
            </w:r>
          </w:p>
        </w:tc>
        <w:tc>
          <w:tcPr>
            <w:tcBorders/>
          </w:tcPr>
          <w:p w14:paraId="2878B26E">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545BA2CE">
            <w:pPr>
              <w:pStyle w:val="874"/>
              <w:pBdr/>
              <w:spacing/>
              <w:ind/>
              <w:jc w:val="right"/>
              <w:rPr>
                <w:rFonts w:ascii="Arial" w:hAnsi="Arial" w:cs="Arial"/>
                <w:sz w:val="18"/>
                <w:szCs w:val="18"/>
              </w:rPr>
            </w:pPr>
            <w:r>
              <w:rPr>
                <w:rFonts w:ascii="Arial" w:hAnsi="Arial" w:eastAsia="Arial" w:cs="Arial"/>
                <w:sz w:val="18"/>
                <w:szCs w:val="18"/>
              </w:rPr>
              <w:t xml:space="preserve">8.0h</w:t>
            </w:r>
            <w:r>
              <w:rPr>
                <w:rFonts w:ascii="Arial" w:hAnsi="Arial" w:cs="Arial"/>
                <w:sz w:val="18"/>
                <w:szCs w:val="18"/>
              </w:rPr>
            </w:r>
            <w:r>
              <w:rPr>
                <w:rFonts w:ascii="Arial" w:hAnsi="Arial" w:cs="Arial"/>
                <w:sz w:val="18"/>
                <w:szCs w:val="18"/>
              </w:rPr>
            </w:r>
          </w:p>
        </w:tc>
        <w:tc>
          <w:tcPr>
            <w:tcBorders/>
          </w:tcPr>
          <w:p w14:paraId="25C62F8F">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1A907A25">
            <w:pPr>
              <w:pStyle w:val="874"/>
              <w:pBdr/>
              <w:spacing/>
              <w:ind/>
              <w:jc w:val="right"/>
              <w:rPr>
                <w:rFonts w:ascii="Arial" w:hAnsi="Arial" w:cs="Arial"/>
                <w:sz w:val="18"/>
                <w:szCs w:val="18"/>
              </w:rPr>
            </w:pPr>
            <w:r>
              <w:rPr>
                <w:rFonts w:ascii="Arial" w:hAnsi="Arial" w:eastAsia="Arial" w:cs="Arial"/>
                <w:sz w:val="18"/>
                <w:szCs w:val="18"/>
              </w:rPr>
              <w:t xml:space="preserve">£169k/MW/yr</w:t>
            </w:r>
            <w:r>
              <w:rPr>
                <w:rFonts w:ascii="Arial" w:hAnsi="Arial" w:cs="Arial"/>
                <w:sz w:val="18"/>
                <w:szCs w:val="18"/>
              </w:rPr>
            </w:r>
            <w:r>
              <w:rPr>
                <w:rFonts w:ascii="Arial" w:hAnsi="Arial" w:cs="Arial"/>
                <w:sz w:val="18"/>
                <w:szCs w:val="18"/>
              </w:rPr>
            </w:r>
          </w:p>
        </w:tc>
      </w:tr>
      <w:tr>
        <w:trPr/>
        <w:tc>
          <w:tcPr>
            <w:tcBorders/>
          </w:tcPr>
          <w:p w14:paraId="186093B2">
            <w:pPr>
              <w:pStyle w:val="874"/>
              <w:pBdr/>
              <w:spacing/>
              <w:ind/>
              <w:rPr>
                <w:rFonts w:ascii="Arial" w:hAnsi="Arial" w:cs="Arial"/>
                <w:sz w:val="18"/>
                <w:szCs w:val="18"/>
              </w:rPr>
            </w:pPr>
            <w:r>
              <w:rPr>
                <w:rFonts w:ascii="Arial" w:hAnsi="Arial" w:eastAsia="Arial" w:cs="Arial"/>
                <w:sz w:val="18"/>
                <w:szCs w:val="18"/>
              </w:rPr>
              <w:t xml:space="preserve">Drakelow (Innova)</w:t>
            </w:r>
            <w:r>
              <w:rPr>
                <w:rFonts w:ascii="Arial" w:hAnsi="Arial" w:cs="Arial"/>
                <w:sz w:val="18"/>
                <w:szCs w:val="18"/>
              </w:rPr>
            </w:r>
            <w:r>
              <w:rPr>
                <w:rFonts w:ascii="Arial" w:hAnsi="Arial" w:cs="Arial"/>
                <w:sz w:val="18"/>
                <w:szCs w:val="18"/>
              </w:rPr>
            </w:r>
          </w:p>
        </w:tc>
        <w:tc>
          <w:tcPr>
            <w:tcBorders/>
          </w:tcPr>
          <w:p w14:paraId="1DBE319B">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5CE1D1E2">
            <w:pPr>
              <w:pStyle w:val="874"/>
              <w:pBdr/>
              <w:spacing/>
              <w:ind/>
              <w:jc w:val="right"/>
              <w:rPr>
                <w:rFonts w:ascii="Arial" w:hAnsi="Arial" w:cs="Arial"/>
                <w:sz w:val="18"/>
                <w:szCs w:val="18"/>
              </w:rPr>
            </w:pPr>
            <w:r>
              <w:rPr>
                <w:rFonts w:ascii="Arial" w:hAnsi="Arial" w:eastAsia="Arial" w:cs="Arial"/>
                <w:sz w:val="18"/>
                <w:szCs w:val="18"/>
              </w:rPr>
              <w:t xml:space="preserve">8.7h</w:t>
            </w:r>
            <w:r>
              <w:rPr>
                <w:rFonts w:ascii="Arial" w:hAnsi="Arial" w:cs="Arial"/>
                <w:sz w:val="18"/>
                <w:szCs w:val="18"/>
              </w:rPr>
            </w:r>
            <w:r>
              <w:rPr>
                <w:rFonts w:ascii="Arial" w:hAnsi="Arial" w:cs="Arial"/>
                <w:sz w:val="18"/>
                <w:szCs w:val="18"/>
              </w:rPr>
            </w:r>
          </w:p>
        </w:tc>
        <w:tc>
          <w:tcPr>
            <w:tcBorders/>
          </w:tcPr>
          <w:p w14:paraId="79A60175">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6A72949A">
            <w:pPr>
              <w:pStyle w:val="874"/>
              <w:pBdr/>
              <w:spacing/>
              <w:ind/>
              <w:jc w:val="right"/>
              <w:rPr>
                <w:rFonts w:ascii="Arial" w:hAnsi="Arial" w:cs="Arial"/>
                <w:sz w:val="18"/>
                <w:szCs w:val="18"/>
              </w:rPr>
            </w:pPr>
            <w:r>
              <w:rPr>
                <w:rFonts w:ascii="Arial" w:hAnsi="Arial" w:eastAsia="Arial" w:cs="Arial"/>
                <w:sz w:val="18"/>
                <w:szCs w:val="18"/>
              </w:rPr>
              <w:t xml:space="preserve">£198k/MW/yr</w:t>
            </w:r>
            <w:r>
              <w:rPr>
                <w:rFonts w:ascii="Arial" w:hAnsi="Arial" w:cs="Arial"/>
                <w:sz w:val="18"/>
                <w:szCs w:val="18"/>
              </w:rPr>
            </w:r>
            <w:r>
              <w:rPr>
                <w:rFonts w:ascii="Arial" w:hAnsi="Arial" w:cs="Arial"/>
                <w:sz w:val="18"/>
                <w:szCs w:val="18"/>
              </w:rPr>
            </w:r>
          </w:p>
        </w:tc>
      </w:tr>
      <w:tr>
        <w:trPr/>
        <w:tc>
          <w:tcPr>
            <w:tcBorders/>
          </w:tcPr>
          <w:p w14:paraId="48175125">
            <w:pPr>
              <w:pStyle w:val="874"/>
              <w:pBdr/>
              <w:spacing/>
              <w:ind/>
              <w:rPr>
                <w:rFonts w:ascii="Arial" w:hAnsi="Arial" w:cs="Arial"/>
                <w:sz w:val="18"/>
                <w:szCs w:val="18"/>
              </w:rPr>
            </w:pPr>
            <w:r>
              <w:rPr>
                <w:rFonts w:ascii="Arial" w:hAnsi="Arial" w:eastAsia="Arial" w:cs="Arial"/>
                <w:sz w:val="18"/>
                <w:szCs w:val="18"/>
              </w:rPr>
              <w:t xml:space="preserve">Springwell</w:t>
            </w:r>
            <w:r>
              <w:rPr>
                <w:rFonts w:ascii="Arial" w:hAnsi="Arial" w:cs="Arial"/>
                <w:sz w:val="18"/>
                <w:szCs w:val="18"/>
              </w:rPr>
            </w:r>
            <w:r>
              <w:rPr>
                <w:rFonts w:ascii="Arial" w:hAnsi="Arial" w:cs="Arial"/>
                <w:sz w:val="18"/>
                <w:szCs w:val="18"/>
              </w:rPr>
            </w:r>
          </w:p>
        </w:tc>
        <w:tc>
          <w:tcPr>
            <w:tcBorders/>
          </w:tcPr>
          <w:p w14:paraId="1C09B915">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0083B92C">
            <w:pPr>
              <w:pStyle w:val="874"/>
              <w:pBdr/>
              <w:spacing/>
              <w:ind/>
              <w:jc w:val="right"/>
              <w:rPr>
                <w:rFonts w:ascii="Arial" w:hAnsi="Arial" w:cs="Arial"/>
                <w:sz w:val="18"/>
                <w:szCs w:val="18"/>
              </w:rPr>
            </w:pPr>
            <w:r>
              <w:rPr>
                <w:rFonts w:ascii="Arial" w:hAnsi="Arial" w:eastAsia="Arial" w:cs="Arial"/>
                <w:sz w:val="18"/>
                <w:szCs w:val="18"/>
              </w:rPr>
              <w:t xml:space="preserve">11.1h</w:t>
            </w:r>
            <w:r>
              <w:rPr>
                <w:rFonts w:ascii="Arial" w:hAnsi="Arial" w:cs="Arial"/>
                <w:sz w:val="18"/>
                <w:szCs w:val="18"/>
              </w:rPr>
            </w:r>
            <w:r>
              <w:rPr>
                <w:rFonts w:ascii="Arial" w:hAnsi="Arial" w:cs="Arial"/>
                <w:sz w:val="18"/>
                <w:szCs w:val="18"/>
              </w:rPr>
            </w:r>
          </w:p>
        </w:tc>
        <w:tc>
          <w:tcPr>
            <w:tcBorders/>
          </w:tcPr>
          <w:p w14:paraId="6C7512ED">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5AB3F719">
            <w:pPr>
              <w:pStyle w:val="874"/>
              <w:pBdr/>
              <w:spacing/>
              <w:ind/>
              <w:jc w:val="right"/>
              <w:rPr>
                <w:rFonts w:ascii="Arial" w:hAnsi="Arial" w:cs="Arial"/>
                <w:sz w:val="18"/>
                <w:szCs w:val="18"/>
              </w:rPr>
            </w:pPr>
            <w:r>
              <w:rPr>
                <w:rFonts w:ascii="Arial" w:hAnsi="Arial" w:eastAsia="Arial" w:cs="Arial"/>
                <w:sz w:val="18"/>
                <w:szCs w:val="18"/>
              </w:rPr>
              <w:t xml:space="preserve">£261k/MW/yr</w:t>
            </w:r>
            <w:r>
              <w:rPr>
                <w:rFonts w:ascii="Arial" w:hAnsi="Arial" w:cs="Arial"/>
                <w:sz w:val="18"/>
                <w:szCs w:val="18"/>
              </w:rPr>
            </w:r>
            <w:r>
              <w:rPr>
                <w:rFonts w:ascii="Arial" w:hAnsi="Arial" w:cs="Arial"/>
                <w:sz w:val="18"/>
                <w:szCs w:val="18"/>
              </w:rPr>
            </w:r>
          </w:p>
        </w:tc>
      </w:tr>
      <w:tr>
        <w:trPr/>
        <w:tc>
          <w:tcPr>
            <w:tcBorders/>
          </w:tcPr>
          <w:p w14:paraId="48FCACDB">
            <w:pPr>
              <w:pStyle w:val="874"/>
              <w:pBdr/>
              <w:spacing/>
              <w:ind/>
              <w:rPr>
                <w:rFonts w:ascii="Arial" w:hAnsi="Arial" w:cs="Arial"/>
                <w:sz w:val="18"/>
                <w:szCs w:val="18"/>
              </w:rPr>
            </w:pPr>
            <w:r>
              <w:rPr>
                <w:rFonts w:ascii="Arial" w:hAnsi="Arial" w:eastAsia="Arial" w:cs="Arial"/>
                <w:sz w:val="18"/>
                <w:szCs w:val="18"/>
              </w:rPr>
              <w:t xml:space="preserve">Thornton BESS 2</w:t>
            </w:r>
            <w:r>
              <w:rPr>
                <w:rFonts w:ascii="Arial" w:hAnsi="Arial" w:cs="Arial"/>
                <w:sz w:val="18"/>
                <w:szCs w:val="18"/>
              </w:rPr>
            </w:r>
            <w:r>
              <w:rPr>
                <w:rFonts w:ascii="Arial" w:hAnsi="Arial" w:cs="Arial"/>
                <w:sz w:val="18"/>
                <w:szCs w:val="18"/>
              </w:rPr>
            </w:r>
          </w:p>
        </w:tc>
        <w:tc>
          <w:tcPr>
            <w:tcBorders/>
          </w:tcPr>
          <w:p w14:paraId="4E770ABE">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7D554414">
            <w:pPr>
              <w:pStyle w:val="874"/>
              <w:pBdr/>
              <w:spacing/>
              <w:ind/>
              <w:jc w:val="right"/>
              <w:rPr>
                <w:rFonts w:ascii="Arial" w:hAnsi="Arial" w:cs="Arial"/>
                <w:sz w:val="18"/>
                <w:szCs w:val="18"/>
              </w:rPr>
            </w:pPr>
            <w:r>
              <w:rPr>
                <w:rFonts w:ascii="Arial" w:hAnsi="Arial" w:eastAsia="Arial" w:cs="Arial"/>
                <w:sz w:val="18"/>
                <w:szCs w:val="18"/>
              </w:rPr>
              <w:t xml:space="preserve">11.1h</w:t>
            </w:r>
            <w:r>
              <w:rPr>
                <w:rFonts w:ascii="Arial" w:hAnsi="Arial" w:cs="Arial"/>
                <w:sz w:val="18"/>
                <w:szCs w:val="18"/>
              </w:rPr>
            </w:r>
            <w:r>
              <w:rPr>
                <w:rFonts w:ascii="Arial" w:hAnsi="Arial" w:cs="Arial"/>
                <w:sz w:val="18"/>
                <w:szCs w:val="18"/>
              </w:rPr>
            </w:r>
          </w:p>
        </w:tc>
        <w:tc>
          <w:tcPr>
            <w:tcBorders/>
          </w:tcPr>
          <w:p w14:paraId="52785E6F">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41BAC65A">
            <w:pPr>
              <w:pStyle w:val="874"/>
              <w:pBdr/>
              <w:spacing/>
              <w:ind/>
              <w:jc w:val="right"/>
              <w:rPr>
                <w:rFonts w:ascii="Arial" w:hAnsi="Arial" w:cs="Arial"/>
                <w:sz w:val="18"/>
                <w:szCs w:val="18"/>
              </w:rPr>
            </w:pPr>
            <w:r>
              <w:rPr>
                <w:rFonts w:ascii="Arial" w:hAnsi="Arial" w:eastAsia="Arial" w:cs="Arial"/>
                <w:sz w:val="18"/>
                <w:szCs w:val="18"/>
              </w:rPr>
              <w:t xml:space="preserve">£261k/MW/yr</w:t>
            </w:r>
            <w:r>
              <w:rPr>
                <w:rFonts w:ascii="Arial" w:hAnsi="Arial" w:cs="Arial"/>
                <w:sz w:val="18"/>
                <w:szCs w:val="18"/>
              </w:rPr>
            </w:r>
            <w:r>
              <w:rPr>
                <w:rFonts w:ascii="Arial" w:hAnsi="Arial" w:cs="Arial"/>
                <w:sz w:val="18"/>
                <w:szCs w:val="18"/>
              </w:rPr>
            </w:r>
          </w:p>
        </w:tc>
      </w:tr>
      <w:tr>
        <w:trPr/>
        <w:tc>
          <w:tcPr>
            <w:tcBorders/>
          </w:tcPr>
          <w:p w14:paraId="5788E3C8">
            <w:pPr>
              <w:pStyle w:val="874"/>
              <w:pBdr/>
              <w:spacing/>
              <w:ind/>
              <w:rPr>
                <w:rFonts w:ascii="Arial" w:hAnsi="Arial" w:cs="Arial"/>
                <w:sz w:val="18"/>
                <w:szCs w:val="18"/>
              </w:rPr>
            </w:pPr>
            <w:r>
              <w:rPr>
                <w:rFonts w:ascii="Arial" w:hAnsi="Arial" w:eastAsia="Arial" w:cs="Arial"/>
                <w:sz w:val="18"/>
                <w:szCs w:val="18"/>
              </w:rPr>
              <w:t xml:space="preserve">East Claydon Storage</w:t>
            </w:r>
            <w:r>
              <w:rPr>
                <w:rFonts w:ascii="Arial" w:hAnsi="Arial" w:cs="Arial"/>
                <w:sz w:val="18"/>
                <w:szCs w:val="18"/>
              </w:rPr>
            </w:r>
            <w:r>
              <w:rPr>
                <w:rFonts w:ascii="Arial" w:hAnsi="Arial" w:cs="Arial"/>
                <w:sz w:val="18"/>
                <w:szCs w:val="18"/>
              </w:rPr>
            </w:r>
          </w:p>
        </w:tc>
        <w:tc>
          <w:tcPr>
            <w:tcBorders/>
          </w:tcPr>
          <w:p w14:paraId="47BED8BA">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52E09DF2">
            <w:pPr>
              <w:pStyle w:val="874"/>
              <w:pBdr/>
              <w:spacing/>
              <w:ind/>
              <w:jc w:val="right"/>
              <w:rPr>
                <w:rFonts w:ascii="Arial" w:hAnsi="Arial" w:cs="Arial"/>
                <w:sz w:val="18"/>
                <w:szCs w:val="18"/>
              </w:rPr>
            </w:pPr>
            <w:r>
              <w:rPr>
                <w:rFonts w:ascii="Arial" w:hAnsi="Arial" w:eastAsia="Arial" w:cs="Arial"/>
                <w:sz w:val="18"/>
                <w:szCs w:val="18"/>
              </w:rPr>
              <w:t xml:space="preserve">12.0h</w:t>
            </w:r>
            <w:r>
              <w:rPr>
                <w:rFonts w:ascii="Arial" w:hAnsi="Arial" w:cs="Arial"/>
                <w:sz w:val="18"/>
                <w:szCs w:val="18"/>
              </w:rPr>
            </w:r>
            <w:r>
              <w:rPr>
                <w:rFonts w:ascii="Arial" w:hAnsi="Arial" w:cs="Arial"/>
                <w:sz w:val="18"/>
                <w:szCs w:val="18"/>
              </w:rPr>
            </w:r>
          </w:p>
        </w:tc>
        <w:tc>
          <w:tcPr>
            <w:tcBorders/>
          </w:tcPr>
          <w:p w14:paraId="3A76B59D">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6702F9AA">
            <w:pPr>
              <w:pStyle w:val="874"/>
              <w:pBdr/>
              <w:spacing/>
              <w:ind/>
              <w:jc w:val="right"/>
              <w:rPr>
                <w:rFonts w:ascii="Arial" w:hAnsi="Arial" w:cs="Arial"/>
                <w:sz w:val="18"/>
                <w:szCs w:val="18"/>
              </w:rPr>
            </w:pPr>
            <w:r>
              <w:rPr>
                <w:rFonts w:ascii="Arial" w:hAnsi="Arial" w:eastAsia="Arial" w:cs="Arial"/>
                <w:sz w:val="18"/>
                <w:szCs w:val="18"/>
              </w:rPr>
              <w:t xml:space="preserve">£278k/MW/yr</w:t>
            </w:r>
            <w:r>
              <w:rPr>
                <w:rFonts w:ascii="Arial" w:hAnsi="Arial" w:cs="Arial"/>
                <w:sz w:val="18"/>
                <w:szCs w:val="18"/>
              </w:rPr>
            </w:r>
            <w:r>
              <w:rPr>
                <w:rFonts w:ascii="Arial" w:hAnsi="Arial" w:cs="Arial"/>
                <w:sz w:val="18"/>
                <w:szCs w:val="18"/>
              </w:rPr>
            </w:r>
          </w:p>
        </w:tc>
      </w:tr>
      <w:tr>
        <w:trPr/>
        <w:tc>
          <w:tcPr>
            <w:tcBorders/>
          </w:tcPr>
          <w:p w14:paraId="757FB4D7">
            <w:pPr>
              <w:pStyle w:val="874"/>
              <w:pBdr/>
              <w:spacing/>
              <w:ind/>
              <w:rPr>
                <w:rFonts w:ascii="Arial" w:hAnsi="Arial" w:cs="Arial"/>
                <w:sz w:val="18"/>
                <w:szCs w:val="18"/>
              </w:rPr>
            </w:pPr>
            <w:r>
              <w:rPr>
                <w:rFonts w:ascii="Arial" w:hAnsi="Arial" w:eastAsia="Arial" w:cs="Arial"/>
                <w:sz w:val="18"/>
                <w:szCs w:val="18"/>
              </w:rPr>
              <w:t xml:space="preserve">Field Long Stratton</w:t>
            </w:r>
            <w:r>
              <w:rPr>
                <w:rFonts w:ascii="Arial" w:hAnsi="Arial" w:cs="Arial"/>
                <w:sz w:val="18"/>
                <w:szCs w:val="18"/>
              </w:rPr>
            </w:r>
            <w:r>
              <w:rPr>
                <w:rFonts w:ascii="Arial" w:hAnsi="Arial" w:cs="Arial"/>
                <w:sz w:val="18"/>
                <w:szCs w:val="18"/>
              </w:rPr>
            </w:r>
          </w:p>
        </w:tc>
        <w:tc>
          <w:tcPr>
            <w:tcBorders/>
          </w:tcPr>
          <w:p w14:paraId="256DF2FB">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486FC4A3">
            <w:pPr>
              <w:pStyle w:val="874"/>
              <w:pBdr/>
              <w:spacing/>
              <w:ind/>
              <w:jc w:val="right"/>
              <w:rPr>
                <w:rFonts w:ascii="Arial" w:hAnsi="Arial" w:cs="Arial"/>
                <w:sz w:val="18"/>
                <w:szCs w:val="18"/>
              </w:rPr>
            </w:pPr>
            <w:r>
              <w:rPr>
                <w:rFonts w:ascii="Arial" w:hAnsi="Arial" w:eastAsia="Arial" w:cs="Arial"/>
                <w:sz w:val="18"/>
                <w:szCs w:val="18"/>
              </w:rPr>
              <w:t xml:space="preserve">16.1h</w:t>
            </w:r>
            <w:r>
              <w:rPr>
                <w:rFonts w:ascii="Arial" w:hAnsi="Arial" w:cs="Arial"/>
                <w:sz w:val="18"/>
                <w:szCs w:val="18"/>
              </w:rPr>
            </w:r>
            <w:r>
              <w:rPr>
                <w:rFonts w:ascii="Arial" w:hAnsi="Arial" w:cs="Arial"/>
                <w:sz w:val="18"/>
                <w:szCs w:val="18"/>
              </w:rPr>
            </w:r>
          </w:p>
        </w:tc>
        <w:tc>
          <w:tcPr>
            <w:tcBorders/>
          </w:tcPr>
          <w:p w14:paraId="2A05E61B">
            <w:pPr>
              <w:pStyle w:val="874"/>
              <w:pBdr/>
              <w:spacing/>
              <w:ind/>
              <w:rPr>
                <w:rFonts w:ascii="Arial" w:hAnsi="Arial" w:cs="Arial"/>
                <w:sz w:val="18"/>
                <w:szCs w:val="18"/>
              </w:rPr>
            </w:pPr>
            <w:r>
              <w:rPr>
                <w:rFonts w:ascii="Arial" w:hAnsi="Arial" w:eastAsia="Arial" w:cs="Arial"/>
                <w:sz w:val="18"/>
                <w:szCs w:val="18"/>
              </w:rPr>
              <w:t xml:space="preserve">No</w:t>
            </w:r>
            <w:r>
              <w:rPr>
                <w:rFonts w:ascii="Arial" w:hAnsi="Arial" w:cs="Arial"/>
                <w:sz w:val="18"/>
                <w:szCs w:val="18"/>
              </w:rPr>
            </w:r>
            <w:r>
              <w:rPr>
                <w:rFonts w:ascii="Arial" w:hAnsi="Arial" w:cs="Arial"/>
                <w:sz w:val="18"/>
                <w:szCs w:val="18"/>
              </w:rPr>
            </w:r>
          </w:p>
        </w:tc>
        <w:tc>
          <w:tcPr>
            <w:tcBorders/>
          </w:tcPr>
          <w:p w14:paraId="3249C28C">
            <w:pPr>
              <w:pStyle w:val="874"/>
              <w:pBdr/>
              <w:spacing/>
              <w:ind/>
              <w:jc w:val="right"/>
              <w:rPr>
                <w:rFonts w:ascii="Arial" w:hAnsi="Arial" w:cs="Arial"/>
                <w:sz w:val="18"/>
                <w:szCs w:val="18"/>
              </w:rPr>
            </w:pPr>
            <w:r>
              <w:rPr>
                <w:rFonts w:ascii="Arial" w:hAnsi="Arial" w:eastAsia="Arial" w:cs="Arial"/>
                <w:sz w:val="18"/>
                <w:szCs w:val="18"/>
              </w:rPr>
              <w:t xml:space="preserve">£395k/MW/yr</w:t>
            </w:r>
            <w:r>
              <w:rPr>
                <w:rFonts w:ascii="Arial" w:hAnsi="Arial" w:cs="Arial"/>
                <w:sz w:val="18"/>
                <w:szCs w:val="18"/>
              </w:rPr>
            </w:r>
            <w:r>
              <w:rPr>
                <w:rFonts w:ascii="Arial" w:hAnsi="Arial" w:cs="Arial"/>
                <w:sz w:val="18"/>
                <w:szCs w:val="18"/>
              </w:rPr>
            </w:r>
          </w:p>
        </w:tc>
      </w:tr>
      <w:tr>
        <w:trPr/>
        <w:tc>
          <w:tcPr>
            <w:tcBorders/>
          </w:tcPr>
          <w:p w14:paraId="695C63C2">
            <w:pPr>
              <w:pStyle w:val="874"/>
              <w:pBdr/>
              <w:spacing/>
              <w:ind/>
              <w:rPr>
                <w:rFonts w:ascii="Arial" w:hAnsi="Arial" w:cs="Arial"/>
                <w:sz w:val="18"/>
                <w:szCs w:val="18"/>
              </w:rPr>
            </w:pPr>
            <w:r>
              <w:rPr>
                <w:rFonts w:ascii="Arial" w:hAnsi="Arial" w:eastAsia="Arial" w:cs="Arial"/>
                <w:sz w:val="18"/>
                <w:szCs w:val="18"/>
              </w:rPr>
              <w:t xml:space="preserve">Field Netherton</w:t>
            </w:r>
            <w:r>
              <w:rPr>
                <w:rFonts w:ascii="Arial" w:hAnsi="Arial" w:cs="Arial"/>
                <w:sz w:val="18"/>
                <w:szCs w:val="18"/>
              </w:rPr>
            </w:r>
            <w:r>
              <w:rPr>
                <w:rFonts w:ascii="Arial" w:hAnsi="Arial" w:cs="Arial"/>
                <w:sz w:val="18"/>
                <w:szCs w:val="18"/>
              </w:rPr>
            </w:r>
          </w:p>
        </w:tc>
        <w:tc>
          <w:tcPr>
            <w:tcBorders/>
          </w:tcPr>
          <w:p w14:paraId="22B5F630">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0848A909">
            <w:pPr>
              <w:pStyle w:val="874"/>
              <w:pBdr/>
              <w:spacing/>
              <w:ind/>
              <w:jc w:val="right"/>
              <w:rPr>
                <w:rFonts w:ascii="Arial" w:hAnsi="Arial" w:cs="Arial"/>
                <w:sz w:val="18"/>
                <w:szCs w:val="18"/>
              </w:rPr>
            </w:pPr>
            <w:r>
              <w:rPr>
                <w:rFonts w:ascii="Arial" w:hAnsi="Arial" w:eastAsia="Arial" w:cs="Arial"/>
                <w:sz w:val="18"/>
                <w:szCs w:val="18"/>
              </w:rPr>
              <w:t xml:space="preserve">16.3h</w:t>
            </w:r>
            <w:r>
              <w:rPr>
                <w:rFonts w:ascii="Arial" w:hAnsi="Arial" w:cs="Arial"/>
                <w:sz w:val="18"/>
                <w:szCs w:val="18"/>
              </w:rPr>
            </w:r>
            <w:r>
              <w:rPr>
                <w:rFonts w:ascii="Arial" w:hAnsi="Arial" w:cs="Arial"/>
                <w:sz w:val="18"/>
                <w:szCs w:val="18"/>
              </w:rPr>
            </w:r>
          </w:p>
        </w:tc>
        <w:tc>
          <w:tcPr>
            <w:tcBorders/>
          </w:tcPr>
          <w:p w14:paraId="225C7E92">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28A63688">
            <w:pPr>
              <w:pStyle w:val="874"/>
              <w:pBdr/>
              <w:spacing/>
              <w:ind/>
              <w:jc w:val="right"/>
              <w:rPr>
                <w:rFonts w:ascii="Arial" w:hAnsi="Arial" w:cs="Arial"/>
                <w:sz w:val="18"/>
                <w:szCs w:val="18"/>
              </w:rPr>
            </w:pPr>
            <w:r>
              <w:rPr>
                <w:rFonts w:ascii="Arial" w:hAnsi="Arial" w:eastAsia="Arial" w:cs="Arial"/>
                <w:sz w:val="18"/>
                <w:szCs w:val="18"/>
              </w:rPr>
              <w:t xml:space="preserve">£524k/MW/yr</w:t>
            </w:r>
            <w:r>
              <w:rPr>
                <w:rFonts w:ascii="Arial" w:hAnsi="Arial" w:cs="Arial"/>
                <w:sz w:val="18"/>
                <w:szCs w:val="18"/>
              </w:rPr>
            </w:r>
            <w:r>
              <w:rPr>
                <w:rFonts w:ascii="Arial" w:hAnsi="Arial" w:cs="Arial"/>
                <w:sz w:val="18"/>
                <w:szCs w:val="18"/>
              </w:rPr>
            </w:r>
          </w:p>
        </w:tc>
      </w:tr>
      <w:tr>
        <w:trPr/>
        <w:tc>
          <w:tcPr>
            <w:tcBorders/>
          </w:tcPr>
          <w:p w14:paraId="6170C376">
            <w:pPr>
              <w:pStyle w:val="874"/>
              <w:pBdr/>
              <w:spacing/>
              <w:ind/>
              <w:rPr>
                <w:rFonts w:ascii="Arial" w:hAnsi="Arial" w:cs="Arial"/>
                <w:sz w:val="18"/>
                <w:szCs w:val="18"/>
              </w:rPr>
            </w:pPr>
            <w:r>
              <w:rPr>
                <w:rFonts w:ascii="Arial" w:hAnsi="Arial" w:eastAsia="Arial" w:cs="Arial"/>
                <w:sz w:val="18"/>
                <w:szCs w:val="18"/>
              </w:rPr>
              <w:t xml:space="preserve">Field Fyrish</w:t>
            </w:r>
            <w:r>
              <w:rPr>
                <w:rFonts w:ascii="Arial" w:hAnsi="Arial" w:cs="Arial"/>
                <w:sz w:val="18"/>
                <w:szCs w:val="18"/>
              </w:rPr>
            </w:r>
            <w:r>
              <w:rPr>
                <w:rFonts w:ascii="Arial" w:hAnsi="Arial" w:cs="Arial"/>
                <w:sz w:val="18"/>
                <w:szCs w:val="18"/>
              </w:rPr>
            </w:r>
          </w:p>
        </w:tc>
        <w:tc>
          <w:tcPr>
            <w:tcBorders/>
          </w:tcPr>
          <w:p w14:paraId="57BB3438">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5AB05FD1">
            <w:pPr>
              <w:pStyle w:val="874"/>
              <w:pBdr/>
              <w:spacing/>
              <w:ind/>
              <w:jc w:val="right"/>
              <w:rPr>
                <w:rFonts w:ascii="Arial" w:hAnsi="Arial" w:cs="Arial"/>
                <w:sz w:val="18"/>
                <w:szCs w:val="18"/>
              </w:rPr>
            </w:pPr>
            <w:r>
              <w:rPr>
                <w:rFonts w:ascii="Arial" w:hAnsi="Arial" w:eastAsia="Arial" w:cs="Arial"/>
                <w:sz w:val="18"/>
                <w:szCs w:val="18"/>
              </w:rPr>
              <w:t xml:space="preserve">16.5h</w:t>
            </w:r>
            <w:r>
              <w:rPr>
                <w:rFonts w:ascii="Arial" w:hAnsi="Arial" w:cs="Arial"/>
                <w:sz w:val="18"/>
                <w:szCs w:val="18"/>
              </w:rPr>
            </w:r>
            <w:r>
              <w:rPr>
                <w:rFonts w:ascii="Arial" w:hAnsi="Arial" w:cs="Arial"/>
                <w:sz w:val="18"/>
                <w:szCs w:val="18"/>
              </w:rPr>
            </w:r>
          </w:p>
        </w:tc>
        <w:tc>
          <w:tcPr>
            <w:tcBorders/>
          </w:tcPr>
          <w:p w14:paraId="6E95F895">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493D6DDD">
            <w:pPr>
              <w:pStyle w:val="874"/>
              <w:pBdr/>
              <w:spacing/>
              <w:ind/>
              <w:jc w:val="right"/>
              <w:rPr>
                <w:rFonts w:ascii="Arial" w:hAnsi="Arial" w:cs="Arial"/>
                <w:sz w:val="18"/>
                <w:szCs w:val="18"/>
              </w:rPr>
            </w:pPr>
            <w:r>
              <w:rPr>
                <w:rFonts w:ascii="Arial" w:hAnsi="Arial" w:eastAsia="Arial" w:cs="Arial"/>
                <w:sz w:val="18"/>
                <w:szCs w:val="18"/>
              </w:rPr>
              <w:t xml:space="preserve">£530k/MW/yr</w:t>
            </w:r>
            <w:r>
              <w:rPr>
                <w:rFonts w:ascii="Arial" w:hAnsi="Arial" w:cs="Arial"/>
                <w:sz w:val="18"/>
                <w:szCs w:val="18"/>
              </w:rPr>
            </w:r>
            <w:r>
              <w:rPr>
                <w:rFonts w:ascii="Arial" w:hAnsi="Arial" w:cs="Arial"/>
                <w:sz w:val="18"/>
                <w:szCs w:val="18"/>
              </w:rPr>
            </w:r>
          </w:p>
        </w:tc>
      </w:tr>
      <w:tr>
        <w:trPr/>
        <w:tc>
          <w:tcPr>
            <w:tcBorders/>
          </w:tcPr>
          <w:p w14:paraId="02709CA2">
            <w:pPr>
              <w:pStyle w:val="874"/>
              <w:pBdr/>
              <w:spacing/>
              <w:ind/>
              <w:rPr>
                <w:rFonts w:ascii="Arial" w:hAnsi="Arial" w:cs="Arial"/>
                <w:sz w:val="18"/>
                <w:szCs w:val="18"/>
              </w:rPr>
            </w:pPr>
            <w:r>
              <w:rPr>
                <w:rFonts w:ascii="Arial" w:hAnsi="Arial" w:eastAsia="Arial" w:cs="Arial"/>
                <w:sz w:val="18"/>
                <w:szCs w:val="18"/>
              </w:rPr>
              <w:t xml:space="preserve">Field New Deer</w:t>
            </w:r>
            <w:r>
              <w:rPr>
                <w:rFonts w:ascii="Arial" w:hAnsi="Arial" w:cs="Arial"/>
                <w:sz w:val="18"/>
                <w:szCs w:val="18"/>
              </w:rPr>
            </w:r>
            <w:r>
              <w:rPr>
                <w:rFonts w:ascii="Arial" w:hAnsi="Arial" w:cs="Arial"/>
                <w:sz w:val="18"/>
                <w:szCs w:val="18"/>
              </w:rPr>
            </w:r>
          </w:p>
        </w:tc>
        <w:tc>
          <w:tcPr>
            <w:tcBorders/>
          </w:tcPr>
          <w:p w14:paraId="29375D74">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214D153D">
            <w:pPr>
              <w:pStyle w:val="874"/>
              <w:pBdr/>
              <w:spacing/>
              <w:ind/>
              <w:jc w:val="right"/>
              <w:rPr>
                <w:rFonts w:ascii="Arial" w:hAnsi="Arial" w:cs="Arial"/>
                <w:sz w:val="18"/>
                <w:szCs w:val="18"/>
              </w:rPr>
            </w:pPr>
            <w:r>
              <w:rPr>
                <w:rFonts w:ascii="Arial" w:hAnsi="Arial" w:eastAsia="Arial" w:cs="Arial"/>
                <w:sz w:val="18"/>
                <w:szCs w:val="18"/>
              </w:rPr>
              <w:t xml:space="preserve">18.0h</w:t>
            </w:r>
            <w:r>
              <w:rPr>
                <w:rFonts w:ascii="Arial" w:hAnsi="Arial" w:cs="Arial"/>
                <w:sz w:val="18"/>
                <w:szCs w:val="18"/>
              </w:rPr>
            </w:r>
            <w:r>
              <w:rPr>
                <w:rFonts w:ascii="Arial" w:hAnsi="Arial" w:cs="Arial"/>
                <w:sz w:val="18"/>
                <w:szCs w:val="18"/>
              </w:rPr>
            </w:r>
          </w:p>
        </w:tc>
        <w:tc>
          <w:tcPr>
            <w:tcBorders/>
          </w:tcPr>
          <w:p w14:paraId="4266A277">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494A5C84">
            <w:pPr>
              <w:pStyle w:val="874"/>
              <w:pBdr/>
              <w:spacing/>
              <w:ind/>
              <w:jc w:val="right"/>
              <w:rPr>
                <w:rFonts w:ascii="Arial" w:hAnsi="Arial" w:cs="Arial"/>
                <w:sz w:val="18"/>
                <w:szCs w:val="18"/>
              </w:rPr>
            </w:pPr>
            <w:r>
              <w:rPr>
                <w:rFonts w:ascii="Arial" w:hAnsi="Arial" w:eastAsia="Arial" w:cs="Arial"/>
                <w:sz w:val="18"/>
                <w:szCs w:val="18"/>
              </w:rPr>
              <w:t xml:space="preserve">£582k/MW/yr</w:t>
            </w:r>
            <w:r>
              <w:rPr>
                <w:rFonts w:ascii="Arial" w:hAnsi="Arial" w:cs="Arial"/>
                <w:sz w:val="18"/>
                <w:szCs w:val="18"/>
              </w:rPr>
            </w:r>
            <w:r>
              <w:rPr>
                <w:rFonts w:ascii="Arial" w:hAnsi="Arial" w:cs="Arial"/>
                <w:sz w:val="18"/>
                <w:szCs w:val="18"/>
              </w:rPr>
            </w:r>
          </w:p>
        </w:tc>
      </w:tr>
      <w:tr>
        <w:trPr/>
        <w:tc>
          <w:tcPr>
            <w:tcBorders/>
          </w:tcPr>
          <w:p w14:paraId="01C7F6F5">
            <w:pPr>
              <w:pStyle w:val="874"/>
              <w:pBdr/>
              <w:spacing/>
              <w:ind/>
              <w:rPr>
                <w:rFonts w:ascii="Arial" w:hAnsi="Arial" w:cs="Arial"/>
                <w:sz w:val="18"/>
                <w:szCs w:val="18"/>
              </w:rPr>
            </w:pPr>
            <w:r>
              <w:rPr>
                <w:rFonts w:ascii="Arial" w:hAnsi="Arial" w:eastAsia="Arial" w:cs="Arial"/>
                <w:sz w:val="18"/>
                <w:szCs w:val="18"/>
              </w:rPr>
              <w:t xml:space="preserve">Field Rigifa</w:t>
            </w:r>
            <w:r>
              <w:rPr>
                <w:rFonts w:ascii="Arial" w:hAnsi="Arial" w:cs="Arial"/>
                <w:sz w:val="18"/>
                <w:szCs w:val="18"/>
              </w:rPr>
            </w:r>
            <w:r>
              <w:rPr>
                <w:rFonts w:ascii="Arial" w:hAnsi="Arial" w:cs="Arial"/>
                <w:sz w:val="18"/>
                <w:szCs w:val="18"/>
              </w:rPr>
            </w:r>
          </w:p>
        </w:tc>
        <w:tc>
          <w:tcPr>
            <w:tcBorders/>
          </w:tcPr>
          <w:p w14:paraId="592803D1">
            <w:pPr>
              <w:pStyle w:val="874"/>
              <w:pBdr/>
              <w:spacing/>
              <w:ind/>
              <w:rPr>
                <w:rFonts w:ascii="Arial" w:hAnsi="Arial" w:cs="Arial"/>
                <w:sz w:val="18"/>
                <w:szCs w:val="18"/>
              </w:rPr>
            </w:pPr>
            <w:r>
              <w:rPr>
                <w:rFonts w:ascii="Arial" w:hAnsi="Arial" w:eastAsia="Arial" w:cs="Arial"/>
                <w:sz w:val="18"/>
                <w:szCs w:val="18"/>
              </w:rPr>
              <w:t xml:space="preserve">Li-ion</w:t>
            </w:r>
            <w:r>
              <w:rPr>
                <w:rFonts w:ascii="Arial" w:hAnsi="Arial" w:cs="Arial"/>
                <w:sz w:val="18"/>
                <w:szCs w:val="18"/>
              </w:rPr>
            </w:r>
            <w:r>
              <w:rPr>
                <w:rFonts w:ascii="Arial" w:hAnsi="Arial" w:cs="Arial"/>
                <w:sz w:val="18"/>
                <w:szCs w:val="18"/>
              </w:rPr>
            </w:r>
          </w:p>
        </w:tc>
        <w:tc>
          <w:tcPr>
            <w:tcBorders/>
          </w:tcPr>
          <w:p w14:paraId="73B7602F">
            <w:pPr>
              <w:pStyle w:val="874"/>
              <w:pBdr/>
              <w:spacing/>
              <w:ind/>
              <w:jc w:val="right"/>
              <w:rPr>
                <w:rFonts w:ascii="Arial" w:hAnsi="Arial" w:cs="Arial"/>
                <w:sz w:val="18"/>
                <w:szCs w:val="18"/>
              </w:rPr>
            </w:pPr>
            <w:r>
              <w:rPr>
                <w:rFonts w:ascii="Arial" w:hAnsi="Arial" w:eastAsia="Arial" w:cs="Arial"/>
                <w:sz w:val="18"/>
                <w:szCs w:val="18"/>
              </w:rPr>
              <w:t xml:space="preserve">18.0h</w:t>
            </w:r>
            <w:r>
              <w:rPr>
                <w:rFonts w:ascii="Arial" w:hAnsi="Arial" w:cs="Arial"/>
                <w:sz w:val="18"/>
                <w:szCs w:val="18"/>
              </w:rPr>
            </w:r>
            <w:r>
              <w:rPr>
                <w:rFonts w:ascii="Arial" w:hAnsi="Arial" w:cs="Arial"/>
                <w:sz w:val="18"/>
                <w:szCs w:val="18"/>
              </w:rPr>
            </w:r>
          </w:p>
        </w:tc>
        <w:tc>
          <w:tcPr>
            <w:tcBorders/>
          </w:tcPr>
          <w:p w14:paraId="1E20B3A5">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5D3C627F">
            <w:pPr>
              <w:pStyle w:val="874"/>
              <w:pBdr/>
              <w:spacing/>
              <w:ind/>
              <w:jc w:val="right"/>
              <w:rPr>
                <w:rFonts w:ascii="Arial" w:hAnsi="Arial" w:cs="Arial"/>
                <w:sz w:val="18"/>
                <w:szCs w:val="18"/>
              </w:rPr>
            </w:pPr>
            <w:r>
              <w:rPr>
                <w:rFonts w:ascii="Arial" w:hAnsi="Arial" w:eastAsia="Arial" w:cs="Arial"/>
                <w:sz w:val="18"/>
                <w:szCs w:val="18"/>
              </w:rPr>
              <w:t xml:space="preserve">£582k/MW/yr</w:t>
            </w:r>
            <w:r>
              <w:rPr>
                <w:rFonts w:ascii="Arial" w:hAnsi="Arial" w:cs="Arial"/>
                <w:sz w:val="18"/>
                <w:szCs w:val="18"/>
              </w:rPr>
            </w:r>
            <w:r>
              <w:rPr>
                <w:rFonts w:ascii="Arial" w:hAnsi="Arial" w:cs="Arial"/>
                <w:sz w:val="18"/>
                <w:szCs w:val="18"/>
              </w:rPr>
            </w:r>
          </w:p>
        </w:tc>
      </w:tr>
      <w:tr>
        <w:trPr/>
        <w:tc>
          <w:tcPr>
            <w:tcBorders/>
          </w:tcPr>
          <w:p w14:paraId="59869D60">
            <w:pPr>
              <w:pStyle w:val="874"/>
              <w:pBdr/>
              <w:spacing/>
              <w:ind/>
              <w:rPr>
                <w:rFonts w:ascii="Arial" w:hAnsi="Arial" w:cs="Arial"/>
                <w:sz w:val="18"/>
                <w:szCs w:val="18"/>
              </w:rPr>
            </w:pPr>
            <w:r>
              <w:rPr>
                <w:rFonts w:ascii="Arial" w:hAnsi="Arial" w:eastAsia="Arial" w:cs="Arial"/>
                <w:sz w:val="18"/>
                <w:szCs w:val="18"/>
              </w:rPr>
              <w:t xml:space="preserve">Earba</w:t>
            </w:r>
            <w:r>
              <w:rPr>
                <w:rFonts w:ascii="Arial" w:hAnsi="Arial" w:cs="Arial"/>
                <w:sz w:val="18"/>
                <w:szCs w:val="18"/>
              </w:rPr>
            </w:r>
            <w:r>
              <w:rPr>
                <w:rFonts w:ascii="Arial" w:hAnsi="Arial" w:cs="Arial"/>
                <w:sz w:val="18"/>
                <w:szCs w:val="18"/>
              </w:rPr>
            </w:r>
          </w:p>
        </w:tc>
        <w:tc>
          <w:tcPr>
            <w:tcBorders/>
          </w:tcPr>
          <w:p w14:paraId="57677DEC">
            <w:pPr>
              <w:pStyle w:val="874"/>
              <w:pBdr/>
              <w:spacing/>
              <w:ind/>
              <w:rPr>
                <w:rFonts w:ascii="Arial" w:hAnsi="Arial" w:cs="Arial"/>
                <w:sz w:val="18"/>
                <w:szCs w:val="18"/>
              </w:rPr>
            </w:pPr>
            <w:r>
              <w:rPr>
                <w:rFonts w:ascii="Arial" w:hAnsi="Arial" w:eastAsia="Arial" w:cs="Arial"/>
                <w:sz w:val="18"/>
                <w:szCs w:val="18"/>
              </w:rPr>
              <w:t xml:space="preserve">PSH</w:t>
            </w:r>
            <w:r>
              <w:rPr>
                <w:rFonts w:ascii="Arial" w:hAnsi="Arial" w:cs="Arial"/>
                <w:sz w:val="18"/>
                <w:szCs w:val="18"/>
              </w:rPr>
            </w:r>
            <w:r>
              <w:rPr>
                <w:rFonts w:ascii="Arial" w:hAnsi="Arial" w:cs="Arial"/>
                <w:sz w:val="18"/>
                <w:szCs w:val="18"/>
              </w:rPr>
            </w:r>
          </w:p>
        </w:tc>
        <w:tc>
          <w:tcPr>
            <w:tcBorders/>
          </w:tcPr>
          <w:p w14:paraId="781B60FC">
            <w:pPr>
              <w:pStyle w:val="874"/>
              <w:pBdr/>
              <w:spacing/>
              <w:ind/>
              <w:jc w:val="right"/>
              <w:rPr>
                <w:rFonts w:ascii="Arial" w:hAnsi="Arial" w:cs="Arial"/>
                <w:sz w:val="18"/>
                <w:szCs w:val="18"/>
              </w:rPr>
            </w:pPr>
            <w:r>
              <w:rPr>
                <w:rFonts w:ascii="Arial" w:hAnsi="Arial" w:eastAsia="Arial" w:cs="Arial"/>
                <w:sz w:val="18"/>
                <w:szCs w:val="18"/>
              </w:rPr>
              <w:t xml:space="preserve">15.0h</w:t>
            </w:r>
            <w:r>
              <w:rPr>
                <w:rFonts w:ascii="Arial" w:hAnsi="Arial" w:cs="Arial"/>
                <w:sz w:val="18"/>
                <w:szCs w:val="18"/>
              </w:rPr>
            </w:r>
            <w:r>
              <w:rPr>
                <w:rFonts w:ascii="Arial" w:hAnsi="Arial" w:cs="Arial"/>
                <w:sz w:val="18"/>
                <w:szCs w:val="18"/>
              </w:rPr>
            </w:r>
          </w:p>
        </w:tc>
        <w:tc>
          <w:tcPr>
            <w:tcBorders/>
          </w:tcPr>
          <w:p w14:paraId="5C6A9569">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525CD0C7">
            <w:pPr>
              <w:pStyle w:val="874"/>
              <w:pBdr/>
              <w:spacing/>
              <w:ind/>
              <w:jc w:val="right"/>
              <w:rPr>
                <w:rFonts w:ascii="Arial" w:hAnsi="Arial" w:cs="Arial"/>
                <w:sz w:val="18"/>
                <w:szCs w:val="18"/>
              </w:rPr>
            </w:pPr>
            <w:r>
              <w:rPr>
                <w:rFonts w:ascii="Arial" w:hAnsi="Arial" w:eastAsia="Arial" w:cs="Arial"/>
                <w:sz w:val="18"/>
                <w:szCs w:val="18"/>
              </w:rPr>
              <w:t xml:space="preserve">£0k/MW/yr</w:t>
            </w:r>
            <w:r>
              <w:rPr>
                <w:rFonts w:ascii="Arial" w:hAnsi="Arial" w:cs="Arial"/>
                <w:sz w:val="18"/>
                <w:szCs w:val="18"/>
              </w:rPr>
            </w:r>
            <w:r>
              <w:rPr>
                <w:rFonts w:ascii="Arial" w:hAnsi="Arial" w:cs="Arial"/>
                <w:sz w:val="18"/>
                <w:szCs w:val="18"/>
              </w:rPr>
            </w:r>
          </w:p>
        </w:tc>
      </w:tr>
      <w:tr>
        <w:trPr/>
        <w:tc>
          <w:tcPr>
            <w:tcBorders/>
          </w:tcPr>
          <w:p w14:paraId="54EE29A8">
            <w:pPr>
              <w:pStyle w:val="874"/>
              <w:pBdr/>
              <w:spacing/>
              <w:ind/>
              <w:rPr>
                <w:rFonts w:ascii="Arial" w:hAnsi="Arial" w:cs="Arial"/>
                <w:sz w:val="18"/>
                <w:szCs w:val="18"/>
              </w:rPr>
            </w:pPr>
            <w:r>
              <w:rPr>
                <w:rFonts w:ascii="Arial" w:hAnsi="Arial" w:eastAsia="Arial" w:cs="Arial"/>
                <w:sz w:val="18"/>
                <w:szCs w:val="18"/>
              </w:rPr>
              <w:t xml:space="preserve">Loch Kemp Storage</w:t>
            </w:r>
            <w:r>
              <w:rPr>
                <w:rFonts w:ascii="Arial" w:hAnsi="Arial" w:cs="Arial"/>
                <w:sz w:val="18"/>
                <w:szCs w:val="18"/>
              </w:rPr>
            </w:r>
            <w:r>
              <w:rPr>
                <w:rFonts w:ascii="Arial" w:hAnsi="Arial" w:cs="Arial"/>
                <w:sz w:val="18"/>
                <w:szCs w:val="18"/>
              </w:rPr>
            </w:r>
          </w:p>
        </w:tc>
        <w:tc>
          <w:tcPr>
            <w:tcBorders/>
          </w:tcPr>
          <w:p w14:paraId="06719ECC">
            <w:pPr>
              <w:pStyle w:val="874"/>
              <w:pBdr/>
              <w:spacing/>
              <w:ind/>
              <w:rPr>
                <w:rFonts w:ascii="Arial" w:hAnsi="Arial" w:cs="Arial"/>
                <w:sz w:val="18"/>
                <w:szCs w:val="18"/>
              </w:rPr>
            </w:pPr>
            <w:r>
              <w:rPr>
                <w:rFonts w:ascii="Arial" w:hAnsi="Arial" w:eastAsia="Arial" w:cs="Arial"/>
                <w:sz w:val="18"/>
                <w:szCs w:val="18"/>
              </w:rPr>
              <w:t xml:space="preserve">PSH</w:t>
            </w:r>
            <w:r>
              <w:rPr>
                <w:rFonts w:ascii="Arial" w:hAnsi="Arial" w:cs="Arial"/>
                <w:sz w:val="18"/>
                <w:szCs w:val="18"/>
              </w:rPr>
            </w:r>
            <w:r>
              <w:rPr>
                <w:rFonts w:ascii="Arial" w:hAnsi="Arial" w:cs="Arial"/>
                <w:sz w:val="18"/>
                <w:szCs w:val="18"/>
              </w:rPr>
            </w:r>
          </w:p>
        </w:tc>
        <w:tc>
          <w:tcPr>
            <w:tcBorders/>
          </w:tcPr>
          <w:p w14:paraId="4C35E9B9">
            <w:pPr>
              <w:pStyle w:val="874"/>
              <w:pBdr/>
              <w:spacing/>
              <w:ind/>
              <w:jc w:val="right"/>
              <w:rPr>
                <w:rFonts w:ascii="Arial" w:hAnsi="Arial" w:cs="Arial"/>
                <w:sz w:val="18"/>
                <w:szCs w:val="18"/>
              </w:rPr>
            </w:pPr>
            <w:r>
              <w:rPr>
                <w:rFonts w:ascii="Arial" w:hAnsi="Arial" w:eastAsia="Arial" w:cs="Arial"/>
                <w:sz w:val="18"/>
                <w:szCs w:val="18"/>
              </w:rPr>
              <w:t xml:space="preserve">22.3h</w:t>
            </w:r>
            <w:r>
              <w:rPr>
                <w:rFonts w:ascii="Arial" w:hAnsi="Arial" w:cs="Arial"/>
                <w:sz w:val="18"/>
                <w:szCs w:val="18"/>
              </w:rPr>
            </w:r>
            <w:r>
              <w:rPr>
                <w:rFonts w:ascii="Arial" w:hAnsi="Arial" w:cs="Arial"/>
                <w:sz w:val="18"/>
                <w:szCs w:val="18"/>
              </w:rPr>
            </w:r>
          </w:p>
        </w:tc>
        <w:tc>
          <w:tcPr>
            <w:tcBorders/>
          </w:tcPr>
          <w:p w14:paraId="134778D7">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27F7AFFD">
            <w:pPr>
              <w:pStyle w:val="874"/>
              <w:pBdr/>
              <w:spacing/>
              <w:ind/>
              <w:jc w:val="right"/>
              <w:rPr>
                <w:rFonts w:ascii="Arial" w:hAnsi="Arial" w:cs="Arial"/>
                <w:sz w:val="18"/>
                <w:szCs w:val="18"/>
              </w:rPr>
            </w:pPr>
            <w:r>
              <w:rPr>
                <w:rFonts w:ascii="Arial" w:hAnsi="Arial" w:eastAsia="Arial" w:cs="Arial"/>
                <w:sz w:val="18"/>
                <w:szCs w:val="18"/>
              </w:rPr>
              <w:t xml:space="preserve">£0k/MW/yr</w:t>
            </w:r>
            <w:r>
              <w:rPr>
                <w:rFonts w:ascii="Arial" w:hAnsi="Arial" w:cs="Arial"/>
                <w:sz w:val="18"/>
                <w:szCs w:val="18"/>
              </w:rPr>
            </w:r>
            <w:r>
              <w:rPr>
                <w:rFonts w:ascii="Arial" w:hAnsi="Arial" w:cs="Arial"/>
                <w:sz w:val="18"/>
                <w:szCs w:val="18"/>
              </w:rPr>
            </w:r>
          </w:p>
        </w:tc>
      </w:tr>
      <w:tr>
        <w:trPr/>
        <w:tc>
          <w:tcPr>
            <w:tcBorders/>
          </w:tcPr>
          <w:p w14:paraId="06EAB2CE">
            <w:pPr>
              <w:pStyle w:val="874"/>
              <w:pBdr/>
              <w:spacing/>
              <w:ind/>
              <w:rPr>
                <w:rFonts w:ascii="Arial" w:hAnsi="Arial" w:cs="Arial"/>
                <w:sz w:val="18"/>
                <w:szCs w:val="18"/>
              </w:rPr>
            </w:pPr>
            <w:r>
              <w:rPr>
                <w:rFonts w:ascii="Arial" w:hAnsi="Arial" w:eastAsia="Arial" w:cs="Arial"/>
                <w:sz w:val="18"/>
                <w:szCs w:val="18"/>
              </w:rPr>
              <w:t xml:space="preserve">Coire Glas</w:t>
            </w:r>
            <w:r>
              <w:rPr>
                <w:rFonts w:ascii="Arial" w:hAnsi="Arial" w:cs="Arial"/>
                <w:sz w:val="18"/>
                <w:szCs w:val="18"/>
              </w:rPr>
            </w:r>
            <w:r>
              <w:rPr>
                <w:rFonts w:ascii="Arial" w:hAnsi="Arial" w:cs="Arial"/>
                <w:sz w:val="18"/>
                <w:szCs w:val="18"/>
              </w:rPr>
            </w:r>
          </w:p>
        </w:tc>
        <w:tc>
          <w:tcPr>
            <w:tcBorders/>
          </w:tcPr>
          <w:p w14:paraId="1D6616A1">
            <w:pPr>
              <w:pStyle w:val="874"/>
              <w:pBdr/>
              <w:spacing/>
              <w:ind/>
              <w:rPr>
                <w:rFonts w:ascii="Arial" w:hAnsi="Arial" w:cs="Arial"/>
                <w:sz w:val="18"/>
                <w:szCs w:val="18"/>
              </w:rPr>
            </w:pPr>
            <w:r>
              <w:rPr>
                <w:rFonts w:ascii="Arial" w:hAnsi="Arial" w:eastAsia="Arial" w:cs="Arial"/>
                <w:sz w:val="18"/>
                <w:szCs w:val="18"/>
              </w:rPr>
              <w:t xml:space="preserve">PSH</w:t>
            </w:r>
            <w:r>
              <w:rPr>
                <w:rFonts w:ascii="Arial" w:hAnsi="Arial" w:cs="Arial"/>
                <w:sz w:val="18"/>
                <w:szCs w:val="18"/>
              </w:rPr>
            </w:r>
            <w:r>
              <w:rPr>
                <w:rFonts w:ascii="Arial" w:hAnsi="Arial" w:cs="Arial"/>
                <w:sz w:val="18"/>
                <w:szCs w:val="18"/>
              </w:rPr>
            </w:r>
          </w:p>
        </w:tc>
        <w:tc>
          <w:tcPr>
            <w:tcBorders/>
          </w:tcPr>
          <w:p w14:paraId="7E0A8230">
            <w:pPr>
              <w:pStyle w:val="874"/>
              <w:pBdr/>
              <w:spacing/>
              <w:ind/>
              <w:jc w:val="right"/>
              <w:rPr>
                <w:rFonts w:ascii="Arial" w:hAnsi="Arial" w:cs="Arial"/>
                <w:sz w:val="18"/>
                <w:szCs w:val="18"/>
              </w:rPr>
            </w:pPr>
            <w:r>
              <w:rPr>
                <w:rFonts w:ascii="Arial" w:hAnsi="Arial" w:eastAsia="Arial" w:cs="Arial"/>
                <w:sz w:val="18"/>
                <w:szCs w:val="18"/>
              </w:rPr>
              <w:t xml:space="preserve">32.0h</w:t>
            </w:r>
            <w:r>
              <w:rPr>
                <w:rFonts w:ascii="Arial" w:hAnsi="Arial" w:cs="Arial"/>
                <w:sz w:val="18"/>
                <w:szCs w:val="18"/>
              </w:rPr>
            </w:r>
            <w:r>
              <w:rPr>
                <w:rFonts w:ascii="Arial" w:hAnsi="Arial" w:cs="Arial"/>
                <w:sz w:val="18"/>
                <w:szCs w:val="18"/>
              </w:rPr>
            </w:r>
          </w:p>
        </w:tc>
        <w:tc>
          <w:tcPr>
            <w:tcBorders/>
          </w:tcPr>
          <w:p w14:paraId="3C9D3E10">
            <w:pPr>
              <w:pStyle w:val="874"/>
              <w:pBdr/>
              <w:spacing/>
              <w:ind/>
              <w:rPr>
                <w:rFonts w:ascii="Arial" w:hAnsi="Arial" w:cs="Arial"/>
                <w:sz w:val="18"/>
                <w:szCs w:val="18"/>
              </w:rPr>
            </w:pPr>
            <w:r>
              <w:rPr>
                <w:rFonts w:ascii="Arial" w:hAnsi="Arial" w:eastAsia="Arial" w:cs="Arial"/>
                <w:sz w:val="18"/>
                <w:szCs w:val="18"/>
              </w:rPr>
              <w:t xml:space="preserve">Yes</w:t>
            </w:r>
            <w:r>
              <w:rPr>
                <w:rFonts w:ascii="Arial" w:hAnsi="Arial" w:cs="Arial"/>
                <w:sz w:val="18"/>
                <w:szCs w:val="18"/>
              </w:rPr>
            </w:r>
            <w:r>
              <w:rPr>
                <w:rFonts w:ascii="Arial" w:hAnsi="Arial" w:cs="Arial"/>
                <w:sz w:val="18"/>
                <w:szCs w:val="18"/>
              </w:rPr>
            </w:r>
          </w:p>
        </w:tc>
        <w:tc>
          <w:tcPr>
            <w:tcBorders/>
          </w:tcPr>
          <w:p w14:paraId="00C0300E">
            <w:pPr>
              <w:pStyle w:val="874"/>
              <w:pBdr/>
              <w:spacing/>
              <w:ind/>
              <w:jc w:val="right"/>
              <w:rPr>
                <w:rFonts w:ascii="Arial" w:hAnsi="Arial" w:cs="Arial"/>
                <w:sz w:val="18"/>
                <w:szCs w:val="18"/>
              </w:rPr>
            </w:pPr>
            <w:r>
              <w:rPr>
                <w:rFonts w:ascii="Arial" w:hAnsi="Arial" w:eastAsia="Arial" w:cs="Arial"/>
                <w:sz w:val="18"/>
                <w:szCs w:val="18"/>
              </w:rPr>
              <w:t xml:space="preserve">£0k/MW/yr</w:t>
            </w:r>
            <w:r>
              <w:rPr>
                <w:rFonts w:ascii="Arial" w:hAnsi="Arial" w:cs="Arial"/>
                <w:sz w:val="18"/>
                <w:szCs w:val="18"/>
              </w:rPr>
            </w:r>
            <w:r>
              <w:rPr>
                <w:rFonts w:ascii="Arial" w:hAnsi="Arial" w:cs="Arial"/>
                <w:sz w:val="18"/>
                <w:szCs w:val="18"/>
              </w:rPr>
            </w:r>
          </w:p>
        </w:tc>
      </w:tr>
    </w:tbl>
    <w:p w14:paraId="0096DE76">
      <w:pPr>
        <w:pStyle w:val="872"/>
        <w:pBdr/>
        <w:spacing/>
        <w:ind/>
        <w:rPr>
          <w:rFonts w:ascii="Arial" w:hAnsi="Arial" w:cs="Arial"/>
          <w:highlight w:val="none"/>
        </w:rPr>
      </w:pPr>
      <w:r>
        <w:rPr>
          <w:rFonts w:ascii="Arial" w:hAnsi="Arial" w:eastAsia="Arial" w:cs="Arial"/>
        </w:rPr>
        <w:t xml:space="preserve">Full data are traceable to the Window 1 minded-to portfolio inputs and analytical pipeline at</w:t>
      </w:r>
      <w:r>
        <w:rPr>
          <w:rFonts w:ascii="Arial" w:hAnsi="Arial" w:eastAsia="Arial" w:cs="Arial"/>
          <w:lang w:val="en-GB"/>
        </w:rPr>
        <w:t xml:space="preserve">:</w:t>
      </w:r>
      <w:r>
        <w:rPr>
          <w:rFonts w:ascii="Arial" w:hAnsi="Arial" w:eastAsia="Arial" w:cs="Arial"/>
        </w:rPr>
        <w:br/>
        <w:br/>
      </w:r>
      <w:r>
        <w:rPr>
          <w:rFonts w:ascii="Arial" w:hAnsi="Arial" w:eastAsia="Arial" w:cs="Arial"/>
          <w:b/>
          <w:bCs/>
          <w:lang w:val="en-GB"/>
        </w:rPr>
        <w:t xml:space="preserve">Data pipeline</w:t>
      </w:r>
      <w:r>
        <w:rPr>
          <w:rFonts w:ascii="Arial" w:hAnsi="Arial" w:eastAsia="Arial" w:cs="Arial"/>
          <w:lang w:val="en-GB"/>
        </w:rPr>
        <w:t xml:space="preserve">: </w:t>
      </w:r>
      <w:hyperlink r:id="rId13" w:tooltip="https://github.com/AndyMoran/ldes-window1-modelling." w:history="1">
        <w:r>
          <w:rPr>
            <w:rStyle w:val="918"/>
            <w:rFonts w:ascii="Arial" w:hAnsi="Arial" w:eastAsia="Arial" w:cs="Arial"/>
          </w:rPr>
          <w:t xml:space="preserve">https://github.com/AndyMoran/ldes-window1-modelling.</w:t>
        </w:r>
        <w:bookmarkEnd w:id="22"/>
        <w:r>
          <w:rPr>
            <w:rStyle w:val="918"/>
            <w:rFonts w:ascii="Arial" w:hAnsi="Arial" w:eastAsia="Arial" w:cs="Arial"/>
          </w:rPr>
        </w:r>
        <w:bookmarkEnd w:id="23"/>
        <w:r>
          <w:rPr>
            <w:rStyle w:val="918"/>
            <w:rFonts w:ascii="Arial" w:hAnsi="Arial" w:cs="Arial"/>
          </w:rPr>
        </w:r>
        <w:r>
          <w:rPr>
            <w:rStyle w:val="918"/>
            <w:rFonts w:ascii="Arial" w:hAnsi="Arial" w:cs="Arial"/>
          </w:rPr>
        </w:r>
      </w:hyperlink>
      <w:r>
        <w:rPr>
          <w:rFonts w:ascii="Arial" w:hAnsi="Arial" w:cs="Arial"/>
        </w:rPr>
      </w:r>
      <w:r>
        <w:rPr>
          <w:rFonts w:ascii="Arial" w:hAnsi="Arial" w:cs="Arial"/>
          <w:highlight w:val="none"/>
        </w:rPr>
      </w:r>
    </w:p>
    <w:p w14:paraId="331CA404">
      <w:pPr>
        <w:pStyle w:val="872"/>
        <w:pBdr/>
        <w:spacing/>
        <w:ind/>
        <w:rPr>
          <w:rFonts w:ascii="Arial" w:hAnsi="Arial" w:cs="Arial"/>
          <w:highlight w:val="none"/>
        </w:rPr>
      </w:pPr>
      <w:r>
        <w:rPr>
          <w:rFonts w:ascii="Arial" w:hAnsi="Arial" w:cs="Arial"/>
          <w:highlight w:val="none"/>
          <w:lang w:val="en-GB"/>
        </w:rPr>
        <w:br/>
      </w:r>
      <w:r>
        <w:rPr>
          <w:rFonts w:ascii="Arial" w:hAnsi="Arial" w:cs="Arial"/>
          <w:b/>
          <w:bCs/>
          <w:highlight w:val="none"/>
          <w:lang w:val="en-GB"/>
        </w:rPr>
        <w:t xml:space="preserve">Contact:</w:t>
      </w:r>
      <w:r>
        <w:rPr>
          <w:rFonts w:ascii="Arial" w:hAnsi="Arial" w:cs="Arial"/>
          <w:highlight w:val="none"/>
          <w:lang w:val="en-GB"/>
        </w:rPr>
        <w:br/>
        <w:br/>
      </w:r>
      <w:r>
        <w:rPr>
          <w:rFonts w:ascii="Arial" w:hAnsi="Arial" w:cs="Arial"/>
          <w:b/>
          <w:bCs/>
          <w:highlight w:val="none"/>
          <w:lang w:val="en-GB"/>
        </w:rPr>
        <w:t xml:space="preserve">Email Contact:</w:t>
      </w:r>
      <w:r>
        <w:rPr>
          <w:rFonts w:ascii="Arial" w:hAnsi="Arial" w:cs="Arial"/>
          <w:highlight w:val="none"/>
          <w:lang w:val="en-GB"/>
        </w:rPr>
        <w:t xml:space="preserve"> </w:t>
      </w:r>
      <w:hyperlink r:id="rId14" w:tooltip="http://andregmoran@gmail.com" w:history="1">
        <w:r>
          <w:rPr>
            <w:rStyle w:val="918"/>
            <w:rFonts w:ascii="Arial" w:hAnsi="Arial" w:cs="Arial"/>
            <w:highlight w:val="none"/>
            <w:lang w:val="en-GB"/>
          </w:rPr>
          <w:t xml:space="preserve">andregmoran@gmail.com</w:t>
        </w:r>
      </w:hyperlink>
      <w:r>
        <w:rPr>
          <w:rFonts w:ascii="Arial" w:hAnsi="Arial" w:cs="Arial"/>
          <w:highlight w:val="none"/>
          <w:lang w:val="en-GB"/>
        </w:rPr>
        <w:br/>
      </w:r>
      <w:r>
        <w:rPr>
          <w:rFonts w:ascii="Arial" w:hAnsi="Arial" w:cs="Arial"/>
          <w:b/>
          <w:bCs/>
          <w:highlight w:val="none"/>
          <w:lang w:val="en-GB"/>
        </w:rPr>
        <w:t xml:space="preserve">Linkedin:</w:t>
      </w:r>
      <w:r>
        <w:rPr>
          <w:rFonts w:ascii="Arial" w:hAnsi="Arial" w:cs="Arial"/>
          <w:highlight w:val="none"/>
          <w:lang w:val="en-GB"/>
        </w:rPr>
        <w:t xml:space="preserve"> </w:t>
      </w:r>
      <w:r>
        <w:rPr>
          <w:rFonts w:ascii="Arial" w:hAnsi="Arial" w:cs="Arial"/>
          <w:highlight w:val="none"/>
          <w:lang w:val="en-GB"/>
        </w:rPr>
      </w:r>
      <w:hyperlink r:id="rId15" w:tooltip="https://www.linkedin.com/in/andy-graham-moran/" w:history="1">
        <w:r>
          <w:rPr>
            <w:rStyle w:val="918"/>
            <w:rFonts w:ascii="Arial" w:hAnsi="Arial" w:cs="Arial"/>
            <w:highlight w:val="none"/>
            <w:lang w:val="en-GB"/>
          </w:rPr>
          <w:t xml:space="preserve">https://www.linkedin.com/in/andy-graham-moran/</w:t>
        </w:r>
        <w:r>
          <w:rPr>
            <w:rStyle w:val="918"/>
            <w:rFonts w:ascii="Arial" w:hAnsi="Arial" w:cs="Arial"/>
            <w:highlight w:val="none"/>
          </w:rPr>
        </w:r>
        <w:r>
          <w:rPr>
            <w:rStyle w:val="918"/>
            <w:rFonts w:ascii="Arial" w:hAnsi="Arial" w:cs="Arial"/>
          </w:rPr>
        </w:r>
      </w:hyperlink>
      <w:r>
        <w:rPr>
          <w:rFonts w:ascii="Arial" w:hAnsi="Arial" w:cs="Arial"/>
        </w:rPr>
      </w:r>
      <w:r>
        <w:rPr>
          <w:rFonts w:ascii="Arial" w:hAnsi="Arial" w:cs="Arial"/>
          <w:highlight w:val="none"/>
        </w:rPr>
      </w:r>
    </w:p>
    <w:p w14:paraId="19B9E17C">
      <w:pPr>
        <w:pStyle w:val="872"/>
        <w:pBdr/>
        <w:spacing/>
        <w:ind/>
        <w:rPr>
          <w:rFonts w:ascii="Arial" w:hAnsi="Arial" w:cs="Arial"/>
          <w:highlight w:val="none"/>
        </w:rPr>
      </w:pPr>
      <w:r>
        <w:rPr>
          <w:rFonts w:ascii="Arial" w:hAnsi="Arial" w:cs="Arial"/>
          <w:b/>
          <w:bCs/>
          <w:highlight w:val="none"/>
          <w:lang w:val="en-GB"/>
        </w:rPr>
        <w:t xml:space="preserve">Github:</w:t>
      </w:r>
      <w:r>
        <w:rPr>
          <w:rFonts w:ascii="Arial" w:hAnsi="Arial" w:cs="Arial"/>
          <w:highlight w:val="none"/>
          <w:lang w:val="en-GB"/>
        </w:rPr>
        <w:t xml:space="preserve"> </w:t>
      </w:r>
      <w:r>
        <w:rPr>
          <w:rFonts w:ascii="Arial" w:hAnsi="Arial" w:cs="Arial"/>
          <w:highlight w:val="none"/>
          <w:lang w:val="en-GB"/>
        </w:rPr>
        <w:t xml:space="preserve">https://github.com/AndyMoran/ldes-window1-modelling</w:t>
      </w:r>
      <w:r>
        <w:rPr>
          <w:rFonts w:ascii="Arial" w:hAnsi="Arial" w:cs="Arial"/>
          <w:highlight w:val="none"/>
          <w:lang w:val="en-GB"/>
        </w:rPr>
      </w:r>
      <w:r>
        <w:rPr>
          <w:rFonts w:ascii="Arial" w:hAnsi="Arial" w:cs="Arial"/>
          <w:highlight w:val="none"/>
        </w:rPr>
      </w:r>
      <w:r>
        <w:rPr>
          <w:rFonts w:ascii="Arial" w:hAnsi="Arial" w:cs="Arial"/>
          <w:highlight w:val="none"/>
        </w:rPr>
      </w:r>
    </w:p>
    <w:p>
      <w:pPr>
        <w:pBdr/>
        <w:spacing/>
        <w:ind/>
        <w:rPr>
          <w:rFonts w:ascii="Arial" w:hAnsi="Arial" w:cs="Arial"/>
        </w:rPr>
      </w:pPr>
      <w:r>
        <w:rPr>
          <w:rFonts w:ascii="Arial" w:hAnsi="Arial" w:eastAsia="Arial" w:cs="Arial"/>
          <w:lang w:val="en-GB" w:bidi="en-GB"/>
        </w:rPr>
      </w:r>
      <w:r>
        <w:rPr>
          <w:rFonts w:ascii="Arial" w:hAnsi="Arial" w:eastAsia="Arial" w:cs="Arial"/>
        </w:rPr>
        <w:pict>
          <v:shape id="shape 14" o:spid="_x0000_s14" o:spt="1" type="#_x0000_t1" style="width:0.00pt;height:1.50pt;mso-wrap-distance-left:0.00pt;mso-wrap-distance-top:0.00pt;mso-wrap-distance-right:0.00pt;mso-wrap-distance-bottom:0.00pt;visibility:visible;" fillcolor="#FFFFFF" strokecolor="#000000" o:hr="t" o:hrstd="t" o:hralign="center" o:hrnoshade="f"/>
        </w:pict>
      </w:r>
      <w:r>
        <w:rPr>
          <w:rFonts w:ascii="Arial" w:hAnsi="Arial" w:cs="Arial"/>
        </w:rPr>
      </w:r>
      <w:r>
        <w:rPr>
          <w:rFonts w:ascii="Arial" w:hAnsi="Arial" w:cs="Arial"/>
        </w:rPr>
      </w:r>
    </w:p>
    <w:p>
      <w:pPr>
        <w:pStyle w:val="873"/>
        <w:pBdr/>
        <w:spacing/>
        <w:ind/>
        <w:rPr>
          <w:rFonts w:ascii="Arial" w:hAnsi="Arial" w:cs="Arial"/>
          <w:lang w:val="en-GB"/>
        </w:rPr>
      </w:pPr>
      <w:r>
        <w:rPr>
          <w:rFonts w:ascii="Arial" w:hAnsi="Arial" w:eastAsia="Arial" w:cs="Arial"/>
          <w:b/>
          <w:bCs/>
        </w:rPr>
        <w:t xml:space="preserve">End of Submission</w:t>
      </w:r>
      <w:bookmarkEnd w:id="52"/>
      <w:r>
        <w:rPr>
          <w:rFonts w:ascii="Arial" w:hAnsi="Arial" w:cs="Arial"/>
          <w:lang w:val="en-GB" w:bidi="en-GB"/>
        </w:rPr>
      </w:r>
      <w:r>
        <w:rPr>
          <w:rFonts w:ascii="Arial" w:hAnsi="Arial" w:cs="Arial"/>
          <w:lang w:val="en-GB"/>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w:basedOn w:val="7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7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7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7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7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7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7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7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7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7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7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7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7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7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7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7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7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7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7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7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7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7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7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7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7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7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7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7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7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7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7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7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7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7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7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7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7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7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7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7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7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7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7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7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7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7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7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7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7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7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7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7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7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7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7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7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7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7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7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7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7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7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7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7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7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7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7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7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7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7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7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7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7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7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7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7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7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7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7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7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7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7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7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1">
    <w:name w:val="List Table 7 Colorful - Accent 2"/>
    <w:basedOn w:val="7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2">
    <w:name w:val="List Table 7 Colorful - Accent 3"/>
    <w:basedOn w:val="7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3">
    <w:name w:val="List Table 7 Colorful - Accent 4"/>
    <w:basedOn w:val="7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4">
    <w:name w:val="List Table 7 Colorful - Accent 5"/>
    <w:basedOn w:val="7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5">
    <w:name w:val="List Table 7 Colorful - Accent 6"/>
    <w:basedOn w:val="7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6">
    <w:name w:val="Lined - Accent"/>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7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7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7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7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7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7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7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7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7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7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7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7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7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7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7" w:default="1">
    <w:name w:val="No List"/>
    <w:uiPriority w:val="99"/>
    <w:semiHidden/>
    <w:unhideWhenUsed/>
    <w:pPr>
      <w:pBdr/>
      <w:spacing/>
      <w:ind/>
    </w:pPr>
  </w:style>
  <w:style w:type="paragraph" w:styleId="838">
    <w:name w:val="Quote"/>
    <w:basedOn w:val="871"/>
    <w:next w:val="871"/>
    <w:link w:val="839"/>
    <w:uiPriority w:val="29"/>
    <w:qFormat/>
    <w:pPr>
      <w:pBdr/>
      <w:spacing w:before="160"/>
      <w:ind/>
      <w:jc w:val="center"/>
    </w:pPr>
    <w:rPr>
      <w:i/>
      <w:iCs/>
      <w:color w:val="404040" w:themeColor="text1" w:themeTint="BF"/>
    </w:rPr>
  </w:style>
  <w:style w:type="character" w:styleId="839">
    <w:name w:val="Quote Char"/>
    <w:basedOn w:val="905"/>
    <w:link w:val="838"/>
    <w:uiPriority w:val="29"/>
    <w:pPr>
      <w:pBdr/>
      <w:spacing/>
      <w:ind/>
    </w:pPr>
    <w:rPr>
      <w:i/>
      <w:iCs/>
      <w:color w:val="404040" w:themeColor="text1" w:themeTint="BF"/>
    </w:rPr>
  </w:style>
  <w:style w:type="paragraph" w:styleId="840">
    <w:name w:val="List Paragraph"/>
    <w:basedOn w:val="871"/>
    <w:uiPriority w:val="34"/>
    <w:qFormat/>
    <w:pPr>
      <w:pBdr/>
      <w:spacing/>
      <w:ind w:left="720"/>
      <w:contextualSpacing w:val="true"/>
    </w:pPr>
  </w:style>
  <w:style w:type="character" w:styleId="841">
    <w:name w:val="Intense Emphasis"/>
    <w:basedOn w:val="905"/>
    <w:uiPriority w:val="21"/>
    <w:qFormat/>
    <w:pPr>
      <w:pBdr/>
      <w:spacing/>
      <w:ind/>
    </w:pPr>
    <w:rPr>
      <w:i/>
      <w:iCs/>
      <w:color w:val="0f4761" w:themeColor="accent1" w:themeShade="BF"/>
    </w:rPr>
  </w:style>
  <w:style w:type="paragraph" w:styleId="842">
    <w:name w:val="Intense Quote"/>
    <w:basedOn w:val="871"/>
    <w:next w:val="871"/>
    <w:link w:val="84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3">
    <w:name w:val="Intense Quote Char"/>
    <w:basedOn w:val="905"/>
    <w:link w:val="842"/>
    <w:uiPriority w:val="30"/>
    <w:pPr>
      <w:pBdr/>
      <w:spacing/>
      <w:ind/>
    </w:pPr>
    <w:rPr>
      <w:i/>
      <w:iCs/>
      <w:color w:val="0f4761" w:themeColor="accent1" w:themeShade="BF"/>
    </w:rPr>
  </w:style>
  <w:style w:type="character" w:styleId="844">
    <w:name w:val="Intense Reference"/>
    <w:basedOn w:val="905"/>
    <w:uiPriority w:val="32"/>
    <w:qFormat/>
    <w:pPr>
      <w:pBdr/>
      <w:spacing/>
      <w:ind/>
    </w:pPr>
    <w:rPr>
      <w:b/>
      <w:bCs/>
      <w:smallCaps/>
      <w:color w:val="0f4761" w:themeColor="accent1" w:themeShade="BF"/>
      <w:spacing w:val="5"/>
    </w:rPr>
  </w:style>
  <w:style w:type="paragraph" w:styleId="845">
    <w:name w:val="No Spacing"/>
    <w:basedOn w:val="871"/>
    <w:uiPriority w:val="1"/>
    <w:qFormat/>
    <w:pPr>
      <w:pBdr/>
      <w:spacing w:after="0" w:line="240" w:lineRule="auto"/>
      <w:ind/>
    </w:pPr>
  </w:style>
  <w:style w:type="character" w:styleId="846">
    <w:name w:val="Subtle Emphasis"/>
    <w:basedOn w:val="905"/>
    <w:uiPriority w:val="19"/>
    <w:qFormat/>
    <w:pPr>
      <w:pBdr/>
      <w:spacing/>
      <w:ind/>
    </w:pPr>
    <w:rPr>
      <w:i/>
      <w:iCs/>
      <w:color w:val="404040" w:themeColor="text1" w:themeTint="BF"/>
    </w:rPr>
  </w:style>
  <w:style w:type="character" w:styleId="847">
    <w:name w:val="Emphasis"/>
    <w:basedOn w:val="905"/>
    <w:uiPriority w:val="20"/>
    <w:qFormat/>
    <w:pPr>
      <w:pBdr/>
      <w:spacing/>
      <w:ind/>
    </w:pPr>
    <w:rPr>
      <w:i/>
      <w:iCs/>
    </w:rPr>
  </w:style>
  <w:style w:type="character" w:styleId="848">
    <w:name w:val="Strong"/>
    <w:basedOn w:val="905"/>
    <w:uiPriority w:val="22"/>
    <w:qFormat/>
    <w:pPr>
      <w:pBdr/>
      <w:spacing/>
      <w:ind/>
    </w:pPr>
    <w:rPr>
      <w:b/>
      <w:bCs/>
    </w:rPr>
  </w:style>
  <w:style w:type="character" w:styleId="849">
    <w:name w:val="Subtle Reference"/>
    <w:basedOn w:val="905"/>
    <w:uiPriority w:val="31"/>
    <w:qFormat/>
    <w:pPr>
      <w:pBdr/>
      <w:spacing/>
      <w:ind/>
    </w:pPr>
    <w:rPr>
      <w:smallCaps/>
      <w:color w:val="5a5a5a" w:themeColor="text1" w:themeTint="A5"/>
    </w:rPr>
  </w:style>
  <w:style w:type="character" w:styleId="850">
    <w:name w:val="Book Title"/>
    <w:basedOn w:val="905"/>
    <w:uiPriority w:val="33"/>
    <w:qFormat/>
    <w:pPr>
      <w:pBdr/>
      <w:spacing/>
      <w:ind/>
    </w:pPr>
    <w:rPr>
      <w:b/>
      <w:bCs/>
      <w:i/>
      <w:iCs/>
      <w:spacing w:val="5"/>
    </w:rPr>
  </w:style>
  <w:style w:type="paragraph" w:styleId="851">
    <w:name w:val="Header"/>
    <w:basedOn w:val="871"/>
    <w:link w:val="852"/>
    <w:uiPriority w:val="99"/>
    <w:unhideWhenUsed/>
    <w:pPr>
      <w:pBdr/>
      <w:tabs>
        <w:tab w:val="center" w:leader="none" w:pos="4844"/>
        <w:tab w:val="right" w:leader="none" w:pos="9689"/>
      </w:tabs>
      <w:spacing w:after="0" w:line="240" w:lineRule="auto"/>
      <w:ind/>
    </w:pPr>
  </w:style>
  <w:style w:type="character" w:styleId="852">
    <w:name w:val="Header Char"/>
    <w:basedOn w:val="905"/>
    <w:link w:val="851"/>
    <w:uiPriority w:val="99"/>
    <w:pPr>
      <w:pBdr/>
      <w:spacing/>
      <w:ind/>
    </w:pPr>
  </w:style>
  <w:style w:type="paragraph" w:styleId="853">
    <w:name w:val="Footer"/>
    <w:basedOn w:val="871"/>
    <w:link w:val="854"/>
    <w:uiPriority w:val="99"/>
    <w:unhideWhenUsed/>
    <w:pPr>
      <w:pBdr/>
      <w:tabs>
        <w:tab w:val="center" w:leader="none" w:pos="4844"/>
        <w:tab w:val="right" w:leader="none" w:pos="9689"/>
      </w:tabs>
      <w:spacing w:after="0" w:line="240" w:lineRule="auto"/>
      <w:ind/>
    </w:pPr>
  </w:style>
  <w:style w:type="character" w:styleId="854">
    <w:name w:val="Footer Char"/>
    <w:basedOn w:val="905"/>
    <w:link w:val="853"/>
    <w:uiPriority w:val="99"/>
    <w:pPr>
      <w:pBdr/>
      <w:spacing/>
      <w:ind/>
    </w:pPr>
  </w:style>
  <w:style w:type="character" w:styleId="855">
    <w:name w:val="Footnote Text Char"/>
    <w:basedOn w:val="905"/>
    <w:link w:val="903"/>
    <w:uiPriority w:val="99"/>
    <w:semiHidden/>
    <w:pPr>
      <w:pBdr/>
      <w:spacing/>
      <w:ind/>
    </w:pPr>
    <w:rPr>
      <w:sz w:val="20"/>
      <w:szCs w:val="20"/>
    </w:rPr>
  </w:style>
  <w:style w:type="paragraph" w:styleId="856">
    <w:name w:val="endnote text"/>
    <w:basedOn w:val="871"/>
    <w:link w:val="857"/>
    <w:uiPriority w:val="99"/>
    <w:semiHidden/>
    <w:unhideWhenUsed/>
    <w:pPr>
      <w:pBdr/>
      <w:spacing w:after="0" w:line="240" w:lineRule="auto"/>
      <w:ind/>
    </w:pPr>
    <w:rPr>
      <w:sz w:val="20"/>
      <w:szCs w:val="20"/>
    </w:rPr>
  </w:style>
  <w:style w:type="character" w:styleId="857">
    <w:name w:val="Endnote Text Char"/>
    <w:basedOn w:val="905"/>
    <w:link w:val="856"/>
    <w:uiPriority w:val="99"/>
    <w:semiHidden/>
    <w:pPr>
      <w:pBdr/>
      <w:spacing/>
      <w:ind/>
    </w:pPr>
    <w:rPr>
      <w:sz w:val="20"/>
      <w:szCs w:val="20"/>
    </w:rPr>
  </w:style>
  <w:style w:type="character" w:styleId="858">
    <w:name w:val="endnote reference"/>
    <w:basedOn w:val="905"/>
    <w:uiPriority w:val="99"/>
    <w:semiHidden/>
    <w:unhideWhenUsed/>
    <w:pPr>
      <w:pBdr/>
      <w:spacing/>
      <w:ind/>
    </w:pPr>
    <w:rPr>
      <w:vertAlign w:val="superscript"/>
    </w:rPr>
  </w:style>
  <w:style w:type="character" w:styleId="859">
    <w:name w:val="FollowedHyperlink"/>
    <w:basedOn w:val="90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90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Body Text"/>
    <w:basedOn w:val="871"/>
    <w:link w:val="914"/>
    <w:qFormat/>
    <w:pPr>
      <w:pBdr/>
      <w:spacing w:after="180" w:before="180"/>
      <w:ind/>
    </w:pPr>
  </w:style>
  <w:style w:type="paragraph" w:styleId="873" w:customStyle="1">
    <w:name w:val="First Paragraph"/>
    <w:basedOn w:val="872"/>
    <w:next w:val="872"/>
    <w:qFormat/>
    <w:pPr>
      <w:pBdr/>
      <w:spacing/>
      <w:ind/>
    </w:pPr>
  </w:style>
  <w:style w:type="paragraph" w:styleId="874" w:customStyle="1">
    <w:name w:val="Compact"/>
    <w:basedOn w:val="872"/>
    <w:qFormat/>
    <w:pPr>
      <w:pBdr/>
      <w:spacing w:after="36" w:before="36"/>
      <w:ind/>
    </w:pPr>
  </w:style>
  <w:style w:type="paragraph" w:styleId="875">
    <w:name w:val="Title"/>
    <w:basedOn w:val="871"/>
    <w:next w:val="872"/>
    <w:link w:val="876"/>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876" w:customStyle="1">
    <w:name w:val="Title Char"/>
    <w:basedOn w:val="905"/>
    <w:link w:val="875"/>
    <w:uiPriority w:val="10"/>
    <w:pPr>
      <w:pBdr/>
      <w:spacing/>
      <w:ind/>
    </w:pPr>
    <w:rPr>
      <w:rFonts w:asciiTheme="majorHAnsi" w:hAnsiTheme="majorHAnsi" w:eastAsiaTheme="majorEastAsia" w:cstheme="majorBidi"/>
      <w:spacing w:val="-10"/>
      <w:sz w:val="56"/>
      <w:szCs w:val="56"/>
    </w:rPr>
  </w:style>
  <w:style w:type="paragraph" w:styleId="877">
    <w:name w:val="Subtitle"/>
    <w:basedOn w:val="875"/>
    <w:next w:val="872"/>
    <w:link w:val="878"/>
    <w:uiPriority w:val="11"/>
    <w:qFormat/>
    <w:pPr>
      <w:numPr>
        <w:ilvl w:val="1"/>
      </w:numPr>
      <w:pBdr/>
      <w:spacing/>
      <w:ind/>
    </w:pPr>
    <w:rPr>
      <w:rFonts w:eastAsiaTheme="majorEastAsia" w:cstheme="majorBidi"/>
      <w:spacing w:val="15"/>
      <w:sz w:val="28"/>
      <w:szCs w:val="28"/>
    </w:rPr>
  </w:style>
  <w:style w:type="character" w:styleId="878" w:customStyle="1">
    <w:name w:val="Subtitle Char"/>
    <w:basedOn w:val="905"/>
    <w:link w:val="877"/>
    <w:uiPriority w:val="11"/>
    <w:pPr>
      <w:pBdr/>
      <w:spacing/>
      <w:ind/>
    </w:pPr>
    <w:rPr>
      <w:rFonts w:eastAsiaTheme="majorEastAsia" w:cstheme="majorBidi"/>
      <w:color w:val="595959" w:themeColor="text1" w:themeTint="A6"/>
      <w:spacing w:val="15"/>
      <w:sz w:val="28"/>
      <w:szCs w:val="28"/>
    </w:rPr>
  </w:style>
  <w:style w:type="paragraph" w:styleId="879" w:customStyle="1">
    <w:name w:val="Author"/>
    <w:next w:val="872"/>
    <w:qFormat/>
    <w:pPr>
      <w:keepNext w:val="true"/>
      <w:keepLines w:val="true"/>
      <w:pBdr/>
      <w:spacing/>
      <w:ind/>
      <w:jc w:val="center"/>
    </w:pPr>
  </w:style>
  <w:style w:type="paragraph" w:styleId="880">
    <w:name w:val="Date"/>
    <w:next w:val="872"/>
    <w:qFormat/>
    <w:pPr>
      <w:keepNext w:val="true"/>
      <w:keepLines w:val="true"/>
      <w:pBdr/>
      <w:spacing/>
      <w:ind/>
      <w:jc w:val="center"/>
    </w:pPr>
  </w:style>
  <w:style w:type="paragraph" w:styleId="881" w:customStyle="1">
    <w:name w:val="Abstract Title"/>
    <w:basedOn w:val="871"/>
    <w:next w:val="882"/>
    <w:qFormat/>
    <w:pPr>
      <w:keepNext w:val="true"/>
      <w:keepLines w:val="true"/>
      <w:pBdr/>
      <w:spacing w:after="0" w:before="300"/>
      <w:ind/>
      <w:jc w:val="center"/>
    </w:pPr>
    <w:rPr>
      <w:b/>
      <w:sz w:val="20"/>
      <w:szCs w:val="20"/>
    </w:rPr>
  </w:style>
  <w:style w:type="paragraph" w:styleId="882" w:customStyle="1">
    <w:name w:val="Abstract"/>
    <w:basedOn w:val="871"/>
    <w:next w:val="872"/>
    <w:qFormat/>
    <w:pPr>
      <w:keepNext w:val="true"/>
      <w:keepLines w:val="true"/>
      <w:pBdr/>
      <w:spacing w:after="300" w:before="100"/>
      <w:ind/>
    </w:pPr>
    <w:rPr>
      <w:sz w:val="20"/>
      <w:szCs w:val="20"/>
    </w:rPr>
  </w:style>
  <w:style w:type="paragraph" w:styleId="883">
    <w:name w:val="Bibliography"/>
    <w:basedOn w:val="871"/>
    <w:next w:val="883"/>
    <w:qFormat/>
    <w:pPr>
      <w:pBdr/>
      <w:spacing/>
      <w:ind/>
    </w:pPr>
  </w:style>
  <w:style w:type="paragraph" w:styleId="884">
    <w:name w:val="Heading 1"/>
    <w:basedOn w:val="871"/>
    <w:next w:val="872"/>
    <w:link w:val="89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5">
    <w:name w:val="Heading 2"/>
    <w:basedOn w:val="871"/>
    <w:next w:val="872"/>
    <w:link w:val="89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6">
    <w:name w:val="Heading 3"/>
    <w:basedOn w:val="871"/>
    <w:next w:val="872"/>
    <w:link w:val="89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7">
    <w:name w:val="Heading 4"/>
    <w:basedOn w:val="871"/>
    <w:next w:val="872"/>
    <w:link w:val="89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8">
    <w:name w:val="Heading 5"/>
    <w:basedOn w:val="871"/>
    <w:next w:val="872"/>
    <w:link w:val="89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9">
    <w:name w:val="Heading 6"/>
    <w:basedOn w:val="871"/>
    <w:next w:val="872"/>
    <w:link w:val="89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0">
    <w:name w:val="Heading 7"/>
    <w:basedOn w:val="871"/>
    <w:next w:val="872"/>
    <w:link w:val="89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1">
    <w:name w:val="Heading 8"/>
    <w:basedOn w:val="871"/>
    <w:next w:val="872"/>
    <w:link w:val="90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2">
    <w:name w:val="Heading 9"/>
    <w:basedOn w:val="871"/>
    <w:next w:val="872"/>
    <w:link w:val="90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3" w:customStyle="1">
    <w:name w:val="Heading 1 Char"/>
    <w:basedOn w:val="905"/>
    <w:link w:val="884"/>
    <w:uiPriority w:val="9"/>
    <w:pPr>
      <w:pBdr/>
      <w:spacing/>
      <w:ind/>
    </w:pPr>
    <w:rPr>
      <w:rFonts w:asciiTheme="majorHAnsi" w:hAnsiTheme="majorHAnsi" w:eastAsiaTheme="majorEastAsia" w:cstheme="majorBidi"/>
      <w:color w:val="0f4761" w:themeColor="accent1" w:themeShade="BF"/>
      <w:sz w:val="40"/>
      <w:szCs w:val="40"/>
    </w:rPr>
  </w:style>
  <w:style w:type="character" w:styleId="894" w:customStyle="1">
    <w:name w:val="Heading 2 Char"/>
    <w:basedOn w:val="905"/>
    <w:link w:val="88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5" w:customStyle="1">
    <w:name w:val="Heading 3 Char"/>
    <w:basedOn w:val="905"/>
    <w:link w:val="886"/>
    <w:uiPriority w:val="9"/>
    <w:semiHidden/>
    <w:pPr>
      <w:pBdr/>
      <w:spacing/>
      <w:ind/>
    </w:pPr>
    <w:rPr>
      <w:rFonts w:eastAsiaTheme="majorEastAsia" w:cstheme="majorBidi"/>
      <w:color w:val="0f4761" w:themeColor="accent1" w:themeShade="BF"/>
      <w:sz w:val="28"/>
      <w:szCs w:val="28"/>
    </w:rPr>
  </w:style>
  <w:style w:type="character" w:styleId="896" w:customStyle="1">
    <w:name w:val="Heading 4 Char"/>
    <w:basedOn w:val="905"/>
    <w:link w:val="887"/>
    <w:uiPriority w:val="9"/>
    <w:semiHidden/>
    <w:pPr>
      <w:pBdr/>
      <w:spacing/>
      <w:ind/>
    </w:pPr>
    <w:rPr>
      <w:rFonts w:eastAsiaTheme="majorEastAsia" w:cstheme="majorBidi"/>
      <w:i/>
      <w:iCs/>
      <w:color w:val="0f4761" w:themeColor="accent1" w:themeShade="BF"/>
    </w:rPr>
  </w:style>
  <w:style w:type="character" w:styleId="897" w:customStyle="1">
    <w:name w:val="Heading 5 Char"/>
    <w:basedOn w:val="905"/>
    <w:link w:val="888"/>
    <w:uiPriority w:val="9"/>
    <w:semiHidden/>
    <w:pPr>
      <w:pBdr/>
      <w:spacing/>
      <w:ind/>
    </w:pPr>
    <w:rPr>
      <w:rFonts w:eastAsiaTheme="majorEastAsia" w:cstheme="majorBidi"/>
      <w:color w:val="0f4761" w:themeColor="accent1" w:themeShade="BF"/>
    </w:rPr>
  </w:style>
  <w:style w:type="character" w:styleId="898" w:customStyle="1">
    <w:name w:val="Heading 6 Char"/>
    <w:basedOn w:val="905"/>
    <w:link w:val="889"/>
    <w:uiPriority w:val="9"/>
    <w:semiHidden/>
    <w:pPr>
      <w:pBdr/>
      <w:spacing/>
      <w:ind/>
    </w:pPr>
    <w:rPr>
      <w:rFonts w:eastAsiaTheme="majorEastAsia" w:cstheme="majorBidi"/>
      <w:i/>
      <w:iCs/>
      <w:color w:val="595959" w:themeColor="text1" w:themeTint="A6"/>
    </w:rPr>
  </w:style>
  <w:style w:type="character" w:styleId="899" w:customStyle="1">
    <w:name w:val="Heading 7 Char"/>
    <w:basedOn w:val="905"/>
    <w:link w:val="890"/>
    <w:uiPriority w:val="9"/>
    <w:semiHidden/>
    <w:pPr>
      <w:pBdr/>
      <w:spacing/>
      <w:ind/>
    </w:pPr>
    <w:rPr>
      <w:rFonts w:eastAsiaTheme="majorEastAsia" w:cstheme="majorBidi"/>
      <w:color w:val="595959" w:themeColor="text1" w:themeTint="A6"/>
    </w:rPr>
  </w:style>
  <w:style w:type="character" w:styleId="900" w:customStyle="1">
    <w:name w:val="Heading 8 Char"/>
    <w:basedOn w:val="905"/>
    <w:link w:val="891"/>
    <w:uiPriority w:val="9"/>
    <w:semiHidden/>
    <w:pPr>
      <w:pBdr/>
      <w:spacing/>
      <w:ind/>
    </w:pPr>
    <w:rPr>
      <w:rFonts w:eastAsiaTheme="majorEastAsia" w:cstheme="majorBidi"/>
      <w:i/>
      <w:iCs/>
      <w:color w:val="272727" w:themeColor="text1" w:themeTint="D8"/>
    </w:rPr>
  </w:style>
  <w:style w:type="character" w:styleId="901" w:customStyle="1">
    <w:name w:val="Heading 9 Char"/>
    <w:basedOn w:val="905"/>
    <w:link w:val="892"/>
    <w:uiPriority w:val="9"/>
    <w:semiHidden/>
    <w:pPr>
      <w:pBdr/>
      <w:spacing/>
      <w:ind/>
    </w:pPr>
    <w:rPr>
      <w:rFonts w:eastAsiaTheme="majorEastAsia" w:cstheme="majorBidi"/>
      <w:color w:val="272727" w:themeColor="text1" w:themeTint="D8"/>
    </w:rPr>
  </w:style>
  <w:style w:type="paragraph" w:styleId="902">
    <w:name w:val="Block Text"/>
    <w:basedOn w:val="872"/>
    <w:next w:val="872"/>
    <w:uiPriority w:val="9"/>
    <w:unhideWhenUsed/>
    <w:qFormat/>
    <w:pPr>
      <w:pBdr/>
      <w:spacing w:after="100" w:before="100"/>
      <w:ind w:right="480" w:firstLine="0" w:left="480"/>
    </w:pPr>
  </w:style>
  <w:style w:type="paragraph" w:styleId="903">
    <w:name w:val="footnote text"/>
    <w:basedOn w:val="871"/>
    <w:next w:val="903"/>
    <w:uiPriority w:val="9"/>
    <w:unhideWhenUsed/>
    <w:qFormat/>
    <w:pPr>
      <w:pBdr/>
      <w:spacing/>
      <w:ind/>
    </w:pPr>
  </w:style>
  <w:style w:type="paragraph" w:styleId="904">
    <w:name w:val="Footnote Block Text"/>
    <w:basedOn w:val="903"/>
    <w:next w:val="903"/>
    <w:uiPriority w:val="9"/>
    <w:unhideWhenUsed/>
    <w:qFormat/>
    <w:pPr>
      <w:pBdr/>
      <w:spacing w:after="100" w:before="100"/>
      <w:ind w:right="480" w:firstLine="0" w:left="480"/>
    </w:pPr>
  </w:style>
  <w:style w:type="character" w:styleId="905" w:default="1">
    <w:name w:val="Default Paragraph Font"/>
    <w:semiHidden/>
    <w:unhideWhenUsed/>
    <w:pPr>
      <w:pBdr/>
      <w:spacing/>
      <w:ind/>
    </w:pPr>
  </w:style>
  <w:style w:type="table" w:styleId="906">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customStyle="1">
    <w:name w:val="Definition Term"/>
    <w:basedOn w:val="871"/>
    <w:next w:val="908"/>
    <w:pPr>
      <w:keepNext w:val="true"/>
      <w:keepLines w:val="true"/>
      <w:pBdr/>
      <w:spacing w:after="0"/>
      <w:ind/>
    </w:pPr>
    <w:rPr>
      <w:b/>
    </w:rPr>
  </w:style>
  <w:style w:type="paragraph" w:styleId="908" w:customStyle="1">
    <w:name w:val="Definition"/>
    <w:basedOn w:val="871"/>
    <w:pPr>
      <w:pBdr/>
      <w:spacing/>
      <w:ind/>
    </w:pPr>
  </w:style>
  <w:style w:type="paragraph" w:styleId="909">
    <w:name w:val="Caption"/>
    <w:basedOn w:val="871"/>
    <w:link w:val="914"/>
    <w:pPr>
      <w:pBdr/>
      <w:spacing w:after="120" w:before="0"/>
      <w:ind/>
    </w:pPr>
    <w:rPr>
      <w:i/>
    </w:rPr>
  </w:style>
  <w:style w:type="paragraph" w:styleId="910" w:customStyle="1">
    <w:name w:val="Table Caption"/>
    <w:basedOn w:val="909"/>
    <w:pPr>
      <w:keepNext w:val="true"/>
      <w:pBdr/>
      <w:spacing/>
      <w:ind/>
    </w:pPr>
  </w:style>
  <w:style w:type="paragraph" w:styleId="911" w:customStyle="1">
    <w:name w:val="Image Caption"/>
    <w:basedOn w:val="909"/>
    <w:pPr>
      <w:pBdr/>
      <w:spacing/>
      <w:ind/>
    </w:pPr>
  </w:style>
  <w:style w:type="paragraph" w:styleId="912" w:customStyle="1">
    <w:name w:val="Figure"/>
    <w:basedOn w:val="871"/>
    <w:pPr>
      <w:pBdr/>
      <w:spacing/>
      <w:ind/>
    </w:pPr>
  </w:style>
  <w:style w:type="paragraph" w:styleId="913" w:customStyle="1">
    <w:name w:val="Captioned Figure"/>
    <w:basedOn w:val="912"/>
    <w:pPr>
      <w:keepNext w:val="true"/>
      <w:pBdr/>
      <w:spacing/>
      <w:ind/>
    </w:pPr>
  </w:style>
  <w:style w:type="character" w:styleId="914" w:customStyle="1">
    <w:name w:val="Body Text Char"/>
    <w:basedOn w:val="905"/>
    <w:link w:val="872"/>
    <w:pPr>
      <w:pBdr/>
      <w:spacing/>
      <w:ind/>
    </w:pPr>
  </w:style>
  <w:style w:type="character" w:styleId="915" w:customStyle="1">
    <w:name w:val="Verbatim Char"/>
    <w:basedOn w:val="914"/>
    <w:pPr>
      <w:pBdr/>
      <w:spacing/>
      <w:ind/>
    </w:pPr>
    <w:rPr>
      <w:rFonts w:ascii="Consolas" w:hAnsi="Consolas"/>
      <w:sz w:val="22"/>
    </w:rPr>
  </w:style>
  <w:style w:type="character" w:styleId="916" w:customStyle="1">
    <w:name w:val="Section Number"/>
    <w:basedOn w:val="914"/>
    <w:pPr>
      <w:pBdr/>
      <w:spacing/>
      <w:ind/>
    </w:pPr>
  </w:style>
  <w:style w:type="character" w:styleId="917">
    <w:name w:val="footnote reference"/>
    <w:basedOn w:val="914"/>
    <w:pPr>
      <w:pBdr/>
      <w:spacing/>
      <w:ind/>
    </w:pPr>
    <w:rPr>
      <w:vertAlign w:val="superscript"/>
    </w:rPr>
  </w:style>
  <w:style w:type="character" w:styleId="918">
    <w:name w:val="Hyperlink"/>
    <w:basedOn w:val="914"/>
    <w:pPr>
      <w:pBdr/>
      <w:spacing/>
      <w:ind/>
    </w:pPr>
    <w:rPr>
      <w:color w:val="4f81bd" w:themeColor="accent1"/>
    </w:rPr>
  </w:style>
  <w:style w:type="paragraph" w:styleId="919">
    <w:name w:val="TOC Heading"/>
    <w:basedOn w:val="884"/>
    <w:next w:val="872"/>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20" w:customStyle="1">
    <w:name w:val="Source Code"/>
    <w:basedOn w:val="871"/>
    <w:link w:val="915"/>
    <w:pPr>
      <w:pBdr/>
      <w:spacing/>
      <w:ind/>
    </w:pPr>
  </w:style>
  <w:style w:type="character" w:styleId="921" w:customStyle="1">
    <w:name w:val="KeywordTok"/>
    <w:basedOn w:val="915"/>
    <w:pPr>
      <w:pBdr/>
      <w:spacing/>
      <w:ind/>
    </w:pPr>
    <w:rPr>
      <w:b/>
      <w:color w:val="007020"/>
    </w:rPr>
  </w:style>
  <w:style w:type="character" w:styleId="922" w:customStyle="1">
    <w:name w:val="DataTypeTok"/>
    <w:basedOn w:val="915"/>
    <w:pPr>
      <w:pBdr/>
      <w:spacing/>
      <w:ind/>
    </w:pPr>
    <w:rPr>
      <w:color w:val="902000"/>
    </w:rPr>
  </w:style>
  <w:style w:type="character" w:styleId="923" w:customStyle="1">
    <w:name w:val="DecValTok"/>
    <w:basedOn w:val="915"/>
    <w:pPr>
      <w:pBdr/>
      <w:spacing/>
      <w:ind/>
    </w:pPr>
    <w:rPr>
      <w:color w:val="40a070"/>
    </w:rPr>
  </w:style>
  <w:style w:type="character" w:styleId="924" w:customStyle="1">
    <w:name w:val="BaseNTok"/>
    <w:basedOn w:val="915"/>
    <w:pPr>
      <w:pBdr/>
      <w:spacing/>
      <w:ind/>
    </w:pPr>
    <w:rPr>
      <w:color w:val="40a070"/>
    </w:rPr>
  </w:style>
  <w:style w:type="character" w:styleId="925" w:customStyle="1">
    <w:name w:val="FloatTok"/>
    <w:basedOn w:val="915"/>
    <w:pPr>
      <w:pBdr/>
      <w:spacing/>
      <w:ind/>
    </w:pPr>
    <w:rPr>
      <w:color w:val="40a070"/>
    </w:rPr>
  </w:style>
  <w:style w:type="character" w:styleId="926" w:customStyle="1">
    <w:name w:val="ConstantTok"/>
    <w:basedOn w:val="915"/>
    <w:pPr>
      <w:pBdr/>
      <w:spacing/>
      <w:ind/>
    </w:pPr>
    <w:rPr>
      <w:color w:val="880000"/>
    </w:rPr>
  </w:style>
  <w:style w:type="character" w:styleId="927" w:customStyle="1">
    <w:name w:val="CharTok"/>
    <w:basedOn w:val="915"/>
    <w:pPr>
      <w:pBdr/>
      <w:spacing/>
      <w:ind/>
    </w:pPr>
    <w:rPr>
      <w:color w:val="4070a0"/>
    </w:rPr>
  </w:style>
  <w:style w:type="character" w:styleId="928" w:customStyle="1">
    <w:name w:val="SpecialCharTok"/>
    <w:basedOn w:val="915"/>
    <w:pPr>
      <w:pBdr/>
      <w:spacing/>
      <w:ind/>
    </w:pPr>
    <w:rPr>
      <w:color w:val="4070a0"/>
    </w:rPr>
  </w:style>
  <w:style w:type="character" w:styleId="929" w:customStyle="1">
    <w:name w:val="StringTok"/>
    <w:basedOn w:val="915"/>
    <w:pPr>
      <w:pBdr/>
      <w:spacing/>
      <w:ind/>
    </w:pPr>
    <w:rPr>
      <w:color w:val="4070a0"/>
    </w:rPr>
  </w:style>
  <w:style w:type="character" w:styleId="930" w:customStyle="1">
    <w:name w:val="VerbatimStringTok"/>
    <w:basedOn w:val="915"/>
    <w:pPr>
      <w:pBdr/>
      <w:spacing/>
      <w:ind/>
    </w:pPr>
    <w:rPr>
      <w:color w:val="4070a0"/>
    </w:rPr>
  </w:style>
  <w:style w:type="character" w:styleId="931" w:customStyle="1">
    <w:name w:val="SpecialStringTok"/>
    <w:basedOn w:val="915"/>
    <w:pPr>
      <w:pBdr/>
      <w:spacing/>
      <w:ind/>
    </w:pPr>
    <w:rPr>
      <w:color w:val="bb6688"/>
    </w:rPr>
  </w:style>
  <w:style w:type="character" w:styleId="932" w:customStyle="1">
    <w:name w:val="ImportTok"/>
    <w:basedOn w:val="915"/>
    <w:pPr>
      <w:pBdr/>
      <w:spacing/>
      <w:ind/>
    </w:pPr>
    <w:rPr>
      <w:b/>
      <w:color w:val="008000"/>
    </w:rPr>
  </w:style>
  <w:style w:type="character" w:styleId="933" w:customStyle="1">
    <w:name w:val="CommentTok"/>
    <w:basedOn w:val="915"/>
    <w:pPr>
      <w:pBdr/>
      <w:spacing/>
      <w:ind/>
    </w:pPr>
    <w:rPr>
      <w:i/>
      <w:color w:val="60a0b0"/>
    </w:rPr>
  </w:style>
  <w:style w:type="character" w:styleId="934" w:customStyle="1">
    <w:name w:val="DocumentationTok"/>
    <w:basedOn w:val="915"/>
    <w:pPr>
      <w:pBdr/>
      <w:spacing/>
      <w:ind/>
    </w:pPr>
    <w:rPr>
      <w:i/>
      <w:color w:val="ba2121"/>
    </w:rPr>
  </w:style>
  <w:style w:type="character" w:styleId="935" w:customStyle="1">
    <w:name w:val="AnnotationTok"/>
    <w:basedOn w:val="915"/>
    <w:pPr>
      <w:pBdr/>
      <w:spacing/>
      <w:ind/>
    </w:pPr>
    <w:rPr>
      <w:b/>
      <w:i/>
      <w:color w:val="60a0b0"/>
    </w:rPr>
  </w:style>
  <w:style w:type="character" w:styleId="936" w:customStyle="1">
    <w:name w:val="CommentVarTok"/>
    <w:basedOn w:val="915"/>
    <w:pPr>
      <w:pBdr/>
      <w:spacing/>
      <w:ind/>
    </w:pPr>
    <w:rPr>
      <w:b/>
      <w:i/>
      <w:color w:val="60a0b0"/>
    </w:rPr>
  </w:style>
  <w:style w:type="character" w:styleId="937" w:customStyle="1">
    <w:name w:val="OtherTok"/>
    <w:basedOn w:val="915"/>
    <w:pPr>
      <w:pBdr/>
      <w:spacing/>
      <w:ind/>
    </w:pPr>
    <w:rPr>
      <w:color w:val="007020"/>
    </w:rPr>
  </w:style>
  <w:style w:type="character" w:styleId="938" w:customStyle="1">
    <w:name w:val="FunctionTok"/>
    <w:basedOn w:val="915"/>
    <w:pPr>
      <w:pBdr/>
      <w:spacing/>
      <w:ind/>
    </w:pPr>
    <w:rPr>
      <w:color w:val="06287e"/>
    </w:rPr>
  </w:style>
  <w:style w:type="character" w:styleId="939" w:customStyle="1">
    <w:name w:val="VariableTok"/>
    <w:basedOn w:val="915"/>
    <w:pPr>
      <w:pBdr/>
      <w:spacing/>
      <w:ind/>
    </w:pPr>
    <w:rPr>
      <w:color w:val="19177c"/>
    </w:rPr>
  </w:style>
  <w:style w:type="character" w:styleId="940" w:customStyle="1">
    <w:name w:val="ControlFlowTok"/>
    <w:basedOn w:val="915"/>
    <w:pPr>
      <w:pBdr/>
      <w:spacing/>
      <w:ind/>
    </w:pPr>
    <w:rPr>
      <w:b/>
      <w:color w:val="007020"/>
    </w:rPr>
  </w:style>
  <w:style w:type="character" w:styleId="941" w:customStyle="1">
    <w:name w:val="OperatorTok"/>
    <w:basedOn w:val="915"/>
    <w:pPr>
      <w:pBdr/>
      <w:spacing/>
      <w:ind/>
    </w:pPr>
    <w:rPr>
      <w:color w:val="666666"/>
    </w:rPr>
  </w:style>
  <w:style w:type="character" w:styleId="942" w:customStyle="1">
    <w:name w:val="BuiltInTok"/>
    <w:basedOn w:val="915"/>
    <w:pPr>
      <w:pBdr/>
      <w:spacing/>
      <w:ind/>
    </w:pPr>
    <w:rPr>
      <w:color w:val="008000"/>
    </w:rPr>
  </w:style>
  <w:style w:type="character" w:styleId="943" w:customStyle="1">
    <w:name w:val="ExtensionTok"/>
    <w:basedOn w:val="915"/>
    <w:pPr>
      <w:pBdr/>
      <w:spacing/>
      <w:ind/>
    </w:pPr>
  </w:style>
  <w:style w:type="character" w:styleId="944" w:customStyle="1">
    <w:name w:val="PreprocessorTok"/>
    <w:basedOn w:val="915"/>
    <w:pPr>
      <w:pBdr/>
      <w:spacing/>
      <w:ind/>
    </w:pPr>
    <w:rPr>
      <w:color w:val="bc7a00"/>
    </w:rPr>
  </w:style>
  <w:style w:type="character" w:styleId="945" w:customStyle="1">
    <w:name w:val="AttributeTok"/>
    <w:basedOn w:val="915"/>
    <w:pPr>
      <w:pBdr/>
      <w:spacing/>
      <w:ind/>
    </w:pPr>
    <w:rPr>
      <w:color w:val="7d9029"/>
    </w:rPr>
  </w:style>
  <w:style w:type="character" w:styleId="946" w:customStyle="1">
    <w:name w:val="RegionMarkerTok"/>
    <w:basedOn w:val="915"/>
    <w:pPr>
      <w:pBdr/>
      <w:spacing/>
      <w:ind/>
    </w:pPr>
  </w:style>
  <w:style w:type="character" w:styleId="947" w:customStyle="1">
    <w:name w:val="InformationTok"/>
    <w:basedOn w:val="915"/>
    <w:pPr>
      <w:pBdr/>
      <w:spacing/>
      <w:ind/>
    </w:pPr>
    <w:rPr>
      <w:b/>
      <w:i/>
      <w:color w:val="60a0b0"/>
    </w:rPr>
  </w:style>
  <w:style w:type="character" w:styleId="948" w:customStyle="1">
    <w:name w:val="WarningTok"/>
    <w:basedOn w:val="915"/>
    <w:pPr>
      <w:pBdr/>
      <w:spacing/>
      <w:ind/>
    </w:pPr>
    <w:rPr>
      <w:b/>
      <w:i/>
      <w:color w:val="60a0b0"/>
    </w:rPr>
  </w:style>
  <w:style w:type="character" w:styleId="949" w:customStyle="1">
    <w:name w:val="AlertTok"/>
    <w:basedOn w:val="915"/>
    <w:pPr>
      <w:pBdr/>
      <w:spacing/>
      <w:ind/>
    </w:pPr>
    <w:rPr>
      <w:b/>
      <w:color w:val="ff0000"/>
    </w:rPr>
  </w:style>
  <w:style w:type="character" w:styleId="950" w:customStyle="1">
    <w:name w:val="ErrorTok"/>
    <w:basedOn w:val="915"/>
    <w:pPr>
      <w:pBdr/>
      <w:spacing/>
      <w:ind/>
    </w:pPr>
    <w:rPr>
      <w:b/>
      <w:color w:val="ff0000"/>
    </w:rPr>
  </w:style>
  <w:style w:type="character" w:styleId="951" w:customStyle="1">
    <w:name w:val="NormalTok"/>
    <w:basedOn w:val="91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github.com/AndyMoran/ldes-window1-modelling." TargetMode="External"/><Relationship Id="rId14" Type="http://schemas.openxmlformats.org/officeDocument/2006/relationships/hyperlink" Target="http://andregmoran@gmail.com" TargetMode="External"/><Relationship Id="rId15" Type="http://schemas.openxmlformats.org/officeDocument/2006/relationships/hyperlink" Target="https://www.linkedin.com/in/andy-graham-mora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Ofgem Consultation</dc:title>
  <dc:creator>Andy Moran;Heaviside Analytics;Independent Researcher</dc:creator>
  <cp:keywords/>
  <cp:revision>4</cp:revision>
  <dcterms:created xsi:type="dcterms:W3CDTF">2026-07-02T09:26:41Z</dcterms:created>
  <dcterms:modified xsi:type="dcterms:W3CDTF">2026-07-06T13:47:29Z</dcterms:modified>
</cp:coreProperties>
</file>