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DD9D3C">
      <w:pPr>
        <w:pStyle w:val="839"/>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5.4 Addendum: The Compounding Effect of Physical Constraints and Fixed-Cost Access (TNUoS) Volatility</w:t>
      </w:r>
      <w:r/>
    </w:p>
    <w:p w14:paraId="15800FA0">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Policy Conclusion:</w:t>
      </w:r>
      <w:r>
        <w:rPr>
          <w:rFonts w:ascii="Arial" w:hAnsi="Arial" w:eastAsia="Arial" w:cs="Arial"/>
          <w:color w:val="1d1d1f"/>
          <w:sz w:val="24"/>
        </w:rPr>
        <w:t xml:space="preserve"> Physical constraints and fixed transmission charging create a compounding fixed-cost squeeze that can affect the financeability of Scottish LDES assets. Ofgem should introduce a locational constraint coefficient for physical constraint exposure and includ</w:t>
      </w:r>
      <w:r>
        <w:rPr>
          <w:rFonts w:ascii="Arial" w:hAnsi="Arial" w:eastAsia="Arial" w:cs="Arial"/>
          <w:color w:val="1d1d1f"/>
          <w:sz w:val="24"/>
        </w:rPr>
        <w:t xml:space="preserve">e a TNUoS volatility review clause to ensure floor calibration remains robust as transmission charging reforms evolve.</w:t>
      </w:r>
      <w:r/>
    </w:p>
    <w:p w14:paraId="27CF06CF">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The Physical Bottleneck and the Fixed Tollgate</w:t>
      </w:r>
      <w:r>
        <w:rPr>
          <w:rFonts w:ascii="Arial" w:hAnsi="Arial" w:eastAsia="Arial" w:cs="Arial"/>
          <w:color w:val="1d1d1f"/>
          <w:sz w:val="24"/>
          <w:lang w:val="en-GB"/>
        </w:rPr>
        <w:t xml:space="preserve">: </w:t>
      </w:r>
      <w:r>
        <w:rPr>
          <w:rFonts w:ascii="Arial" w:hAnsi="Arial" w:eastAsia="Arial" w:cs="Arial"/>
          <w:color w:val="1d1d1f"/>
          <w:sz w:val="24"/>
        </w:rPr>
        <w:t xml:space="preserve">The issue can be understood as the interaction between a physical bottleneck and a fixed tollgate.</w:t>
      </w:r>
      <w:r/>
    </w:p>
    <w:p w14:paraId="44A097E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lang w:val="en-GB"/>
        </w:rPr>
      </w:pPr>
      <w:r>
        <w:rPr>
          <w:rFonts w:ascii="Arial" w:hAnsi="Arial" w:eastAsia="Arial" w:cs="Arial"/>
          <w:color w:val="1d1d1f"/>
          <w:sz w:val="24"/>
        </w:rPr>
        <w:t xml:space="preserve">First, there is the physical bottleneck. In North Scotland, large volumes of wind generation are produced behind constrained transmission boundaries. When wind output is high, the transmission system moving power south can become saturated. In simple terms</w:t>
      </w:r>
      <w:r>
        <w:rPr>
          <w:rFonts w:ascii="Arial" w:hAnsi="Arial" w:eastAsia="Arial" w:cs="Arial"/>
          <w:color w:val="1d1d1f"/>
          <w:sz w:val="24"/>
        </w:rPr>
        <w:t xml:space="preserve">, the network behaves like a narrow pipe: when the pipe is full, additional electricity cannot be exported freely. Storage located behind that boundary may therefore be operating in a local market where the value of additional stored energy is reduced by p</w:t>
      </w:r>
      <w:r>
        <w:rPr>
          <w:rFonts w:ascii="Arial" w:hAnsi="Arial" w:eastAsia="Arial" w:cs="Arial"/>
          <w:color w:val="1d1d1f"/>
          <w:sz w:val="24"/>
        </w:rPr>
        <w:t xml:space="preserve">hysical constraint exposure.</w:t>
      </w:r>
      <w:r>
        <w:rPr>
          <w:rFonts w:ascii="Arial" w:hAnsi="Arial" w:eastAsia="Arial" w:cs="Arial"/>
          <w:sz w:val="24"/>
          <w:lang w:val="en-GB"/>
        </w:rPr>
      </w:r>
      <w:r>
        <w:rPr>
          <w:lang w:val="en-GB"/>
        </w:rPr>
      </w:r>
    </w:p>
    <w:p w14:paraId="21A06085">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Second, there is the fixed tollgate. Transmission Network Use of System (TNUoS) charges are, in part, levied as fixed capacity-based charges. For generation, the relevant charge is linked to the size of the connection, not simply to the volume of electrici</w:t>
      </w:r>
      <w:r>
        <w:rPr>
          <w:rFonts w:ascii="Arial" w:hAnsi="Arial" w:eastAsia="Arial" w:cs="Arial"/>
          <w:color w:val="1d1d1f"/>
          <w:sz w:val="24"/>
        </w:rPr>
        <w:t xml:space="preserve">ty actually sold. A storage asset therefore faces a fixed network-access cost even if physical constraints reduce its dispatch volume and revenue.</w:t>
      </w:r>
      <w:r/>
    </w:p>
    <w:p w14:paraId="469AFE47">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Physical constraint exposure premium</w:t>
      </w:r>
      <w:r>
        <w:rPr>
          <w:rFonts w:ascii="Arial" w:hAnsi="Arial" w:eastAsia="Arial" w:cs="Arial"/>
          <w:color w:val="1d1d1f"/>
          <w:sz w:val="24"/>
          <w:lang w:val="en-GB"/>
        </w:rPr>
        <w:t xml:space="preserve">: </w:t>
      </w:r>
      <w:r>
        <w:rPr>
          <w:rFonts w:ascii="Arial" w:hAnsi="Arial" w:eastAsia="Arial" w:cs="Arial"/>
          <w:color w:val="1d1d1f"/>
          <w:sz w:val="24"/>
        </w:rPr>
        <w:t xml:space="preserve">The squeeze arises because the bottleneck reduces the revenue base, while the tollgate remains fixed. Physical constraints do not necessarily make the network charge higher in cash terms; they make it harder to recover that fixed charge from market revenue</w:t>
      </w:r>
      <w:r>
        <w:rPr>
          <w:rFonts w:ascii="Arial" w:hAnsi="Arial" w:eastAsia="Arial" w:cs="Arial"/>
          <w:color w:val="1d1d1f"/>
          <w:sz w:val="24"/>
        </w:rPr>
        <w:t xml:space="preserve">s. This is why constraint exposure and transmission charging should be considered together in assessing the financeability of Scottish LDES assets.</w:t>
      </w:r>
      <w:r/>
    </w:p>
    <w:p w14:paraId="3C6A12B6">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The geographic premium identified in this response should be interpreted as a physical constraint exposure premium. In our model, Li-ion projects located behind the SSEN-S constraint interface require approximately 30% more modelled equivalent annual resid</w:t>
      </w:r>
      <w:r>
        <w:rPr>
          <w:rFonts w:ascii="Arial" w:hAnsi="Arial" w:eastAsia="Arial" w:cs="Arial"/>
          <w:color w:val="1d1d1f"/>
          <w:sz w:val="24"/>
        </w:rPr>
        <w:t xml:space="preserve">ual support than duration-comparable unconstrained projects. This reflects the effect of reduced deliverable MWh during constraint-active periods, before considering any additional locational transmission charging effects.</w:t>
      </w:r>
      <w:r/>
    </w:p>
    <w:p w14:paraId="65D2B63E">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This distinction is important. The modelled 30% premium captures the physical constraint effect: the storage asset is located behind a boundary where export capacity is restricted during high-renewable-output periods. However, transmission network charges </w:t>
      </w:r>
      <w:r>
        <w:rPr>
          <w:rFonts w:ascii="Arial" w:hAnsi="Arial" w:eastAsia="Arial" w:cs="Arial"/>
          <w:color w:val="1d1d1f"/>
          <w:sz w:val="24"/>
        </w:rPr>
        <w:t xml:space="preserve">introduce a second, regulatory locational exposure. Under the current TNUoS framework, transmission-connected generators are charged by Transmission Entry Capacity and tariffs vary by geographical zone. This means that Scottish LDES assets may face both ph</w:t>
      </w:r>
      <w:r>
        <w:rPr>
          <w:rFonts w:ascii="Arial" w:hAnsi="Arial" w:eastAsia="Arial" w:cs="Arial"/>
          <w:color w:val="1d1d1f"/>
          <w:sz w:val="24"/>
        </w:rPr>
        <w:t xml:space="preserve">ysical constraint exposure and locational transmission charging exposure.</w:t>
      </w:r>
      <w:r/>
    </w:p>
    <w:p w14:paraId="022F9DB7">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Quantifying the fixed-cost squeeze</w:t>
      </w:r>
      <w:r>
        <w:rPr>
          <w:rFonts w:ascii="Arial" w:hAnsi="Arial" w:eastAsia="Arial" w:cs="Arial"/>
          <w:color w:val="1d1d1f"/>
          <w:sz w:val="24"/>
          <w:lang w:val="en-GB"/>
        </w:rPr>
        <w:t xml:space="preserve">: </w:t>
      </w:r>
      <w:r>
        <w:rPr>
          <w:rFonts w:ascii="Arial" w:hAnsi="Arial" w:eastAsia="Arial" w:cs="Arial"/>
          <w:color w:val="1d1d1f"/>
          <w:sz w:val="24"/>
        </w:rPr>
        <w:t xml:space="preserve">To quantify this fixed-cost squeeze, we compared two representative 400 MW Window 1 Li-ion assets: Field Netherton, a 16.3h project located behind the SSEN-S constraint boundary in North Scotland, and Field Long Stratton, a 16.1h unconstrained project in E</w:t>
      </w:r>
      <w:r>
        <w:rPr>
          <w:rFonts w:ascii="Arial" w:hAnsi="Arial" w:eastAsia="Arial" w:cs="Arial"/>
          <w:color w:val="1d1d1f"/>
          <w:sz w:val="24"/>
        </w:rPr>
        <w:t xml:space="preserve">ast England.</w:t>
      </w:r>
      <w:r/>
    </w:p>
    <w:p w14:paraId="5FA24470">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Under our central assumptions, Field Long Stratton earns £319.3k/MW/yr in modelled gross revenue. Field Netherton earns £188.0k/MW/yr, a reduction of £131.3k/MW/yr, or 41.1%. Its delivered MWh per MW are 26.3% lower.</w:t>
      </w:r>
      <w:r/>
    </w:p>
    <w:p w14:paraId="3B30BBC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The difference between the 26.3% delivered-MWh reduction and the 41.1% gross-revenue reduction is material. It reflects both physical dispatch reduction and lower average revenue per delivered MWh. In the model, average gross revenue per delivered MWh fall</w:t>
      </w:r>
      <w:r>
        <w:rPr>
          <w:rFonts w:ascii="Arial" w:hAnsi="Arial" w:eastAsia="Arial" w:cs="Arial"/>
          <w:color w:val="1d1d1f"/>
          <w:sz w:val="24"/>
        </w:rPr>
        <w:t xml:space="preserve">s from £62.5/MWh for Field Long Stratton to £49.9/MWh for Field Netherton, a reduction of 20.1%. This is consistent with the RRT discharge-price cannibalisation penalty and dispatch-mix effects applied in the modelling pipeline.</w:t>
      </w:r>
      <w:r/>
    </w:p>
    <w:p w14:paraId="12A974EC">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After adjusting Field Long Stratton’s support requirement to a 16.3h duration using the Li-ion duration coefficient, the non-RRT baseline is £400.6k/MW/yr. Field Netherton’s modelled equivalent annual residual support requirement is £524k/MW/yr, implying a</w:t>
      </w:r>
      <w:r>
        <w:rPr>
          <w:rFonts w:ascii="Arial" w:hAnsi="Arial" w:eastAsia="Arial" w:cs="Arial"/>
          <w:color w:val="1d1d1f"/>
          <w:sz w:val="24"/>
        </w:rPr>
        <w:t xml:space="preserve"> physical constraint premium of £123.4k/MW/yr, or 30.8%.</w:t>
      </w:r>
      <w:r/>
    </w:p>
    <w:p w14:paraId="5851F2E3">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Generation-side TNUoS caveat and demand-side offset limitation</w:t>
      </w:r>
      <w:r>
        <w:rPr>
          <w:rFonts w:ascii="Arial" w:hAnsi="Arial" w:eastAsia="Arial" w:cs="Arial"/>
          <w:b/>
          <w:color w:val="1d1d1f"/>
          <w:sz w:val="24"/>
          <w:lang w:val="en-GB"/>
        </w:rPr>
        <w:t xml:space="preserve">: </w:t>
      </w:r>
      <w:r>
        <w:rPr>
          <w:rFonts w:ascii="Arial" w:hAnsi="Arial" w:eastAsia="Arial" w:cs="Arial"/>
          <w:color w:val="1d1d1f"/>
          <w:sz w:val="24"/>
        </w:rPr>
        <w:t xml:space="preserve">Generation TNUoS is a fixed capacity charge. A tariff of £X/kW/year is equivalent to £Xk/MW/year. The same fixed generation-side TNUoS charge therefore consumes a larger share of revenue when physical constraints reduce dispatch volume and gross revenue.</w:t>
      </w:r>
      <w:r/>
    </w:p>
    <w:p w14:paraId="6C2EDC4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Using NESO’s published 2026/27 Zone 1 North Scotland generation wider tariff components and the generic battery-storage annual load factor, the storage-specific battery generation tariff is approximately £4.71/kW/year. At £4.71/kW/year, generation-side TNU</w:t>
      </w:r>
      <w:r>
        <w:rPr>
          <w:rFonts w:ascii="Arial" w:hAnsi="Arial" w:eastAsia="Arial" w:cs="Arial"/>
          <w:color w:val="1d1d1f"/>
          <w:sz w:val="24"/>
        </w:rPr>
        <w:t xml:space="preserve">oS would consume approximately 1.5% of Field Long Stratton’s modelled gross revenue and 2.5% of Field Netherton’s modelled gross revenue.</w:t>
      </w:r>
      <w:r/>
    </w:p>
    <w:p w14:paraId="7522DB82">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For pumped storage hydro, the equivalent tariff using NESO’s generic pumped-storage annual load factor is approximately £6.01/kW/year. This higher PSH-specific figure should be used when assessing the exposure of PSH assets such as Coire Glas, Loch Kemp an</w:t>
      </w:r>
      <w:r>
        <w:rPr>
          <w:rFonts w:ascii="Arial" w:hAnsi="Arial" w:eastAsia="Arial" w:cs="Arial"/>
          <w:color w:val="1d1d1f"/>
          <w:sz w:val="24"/>
        </w:rPr>
        <w:t xml:space="preserve">d Earba, rather than the Li-ion comparison above.</w:t>
      </w:r>
      <w:r/>
    </w:p>
    <w:p w14:paraId="00411532">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This is a generation-side sensitivity only. Demand-side TNUoS offset for Scottish charging is not modelled directly. The net TNUoS position will be less adverse than shown here if Triad avoidance is maintained. Conversely, Triad avoidance may be partially </w:t>
      </w:r>
      <w:r>
        <w:rPr>
          <w:rFonts w:ascii="Arial" w:hAnsi="Arial" w:eastAsia="Arial" w:cs="Arial"/>
          <w:color w:val="1d1d1f"/>
          <w:sz w:val="24"/>
        </w:rPr>
        <w:t xml:space="preserve">impaired by constraint-driven charging schedule disruption. We therefore treat this as a sensitivity and recommend that Ofgem include an explicit TNUoS volatility review clause rather </w:t>
      </w:r>
      <w:r>
        <w:rPr>
          <w:rFonts w:ascii="Arial" w:hAnsi="Arial" w:eastAsia="Arial" w:cs="Arial"/>
          <w:color w:val="1d1d1f"/>
          <w:sz w:val="24"/>
          <w:lang w:val="en-GB"/>
        </w:rPr>
        <w:t xml:space="preserve">than </w:t>
      </w:r>
      <w:r>
        <w:rPr>
          <w:rFonts w:ascii="Arial" w:hAnsi="Arial" w:eastAsia="Arial" w:cs="Arial"/>
          <w:color w:val="1d1d1f"/>
          <w:sz w:val="24"/>
        </w:rPr>
        <w:t xml:space="preserve">embedding a hard-coded tariff assumption in the initial floor calib</w:t>
      </w:r>
      <w:r>
        <w:rPr>
          <w:rFonts w:ascii="Arial" w:hAnsi="Arial" w:eastAsia="Arial" w:cs="Arial"/>
          <w:color w:val="1d1d1f"/>
          <w:sz w:val="24"/>
        </w:rPr>
        <w:t xml:space="preserve">ration.</w:t>
      </w:r>
      <w:r/>
    </w:p>
    <w:p w14:paraId="3CA26F93">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The model does not prove that TNUoS makes Scottish LDES uninvestable. It shows that a fixed capacity charge is more burdensome when physical constraints reduce the dispatch revenue base. The safest regulatory conclusion is a review clause or explicit sensi</w:t>
      </w:r>
      <w:r>
        <w:rPr>
          <w:rFonts w:ascii="Arial" w:hAnsi="Arial" w:eastAsia="Arial" w:cs="Arial"/>
          <w:color w:val="1d1d1f"/>
          <w:sz w:val="24"/>
        </w:rPr>
        <w:t xml:space="preserve">tivity test, not an unconditional exemption claim.</w:t>
      </w:r>
      <w:r/>
    </w:p>
    <w:p w14:paraId="34315B11">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Implications for PSH and Recommendations</w:t>
      </w:r>
      <w:r>
        <w:rPr>
          <w:rFonts w:ascii="Arial" w:hAnsi="Arial" w:eastAsia="Arial" w:cs="Arial"/>
          <w:b/>
          <w:color w:val="1d1d1f"/>
          <w:sz w:val="24"/>
          <w:lang w:val="en-GB"/>
        </w:rPr>
        <w:t xml:space="preserve">: </w:t>
      </w:r>
      <w:r>
        <w:rPr>
          <w:rFonts w:ascii="Arial" w:hAnsi="Arial" w:eastAsia="Arial" w:cs="Arial"/>
          <w:color w:val="1d1d1f"/>
          <w:sz w:val="24"/>
        </w:rPr>
        <w:t xml:space="preserve">This point does not overturn the central PSH finding in this response. Under our central wholesale/capacity revenue assumptions, PSH appears materially less reliant on floor-related payments than Li-ion. However, that finding should be read as conditional </w:t>
      </w:r>
      <w:r>
        <w:rPr>
          <w:rFonts w:ascii="Arial" w:hAnsi="Arial" w:eastAsia="Arial" w:cs="Arial"/>
          <w:color w:val="1d1d1f"/>
          <w:sz w:val="24"/>
        </w:rPr>
        <w:t xml:space="preserve">on the modelled revenue stack and cost assumptions. It does not fully capture long-term regulatory charging volatility, particularly TNUoS exposure for large Scottish transmission-connected assets.</w:t>
      </w:r>
      <w:r/>
    </w:p>
    <w:p w14:paraId="3288CE74">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rFonts w:ascii="Arial" w:hAnsi="Arial" w:eastAsia="Arial" w:cs="Arial"/>
          <w:color w:val="1d1d1f"/>
          <w:sz w:val="24"/>
          <w:szCs w:val="24"/>
          <w:highlight w:val="none"/>
        </w:rPr>
      </w:pPr>
      <w:r>
        <w:rPr>
          <w:rFonts w:ascii="Arial" w:hAnsi="Arial" w:eastAsia="Arial" w:cs="Arial"/>
          <w:color w:val="1d1d1f"/>
          <w:sz w:val="24"/>
        </w:rPr>
        <w:t xml:space="preserve">The purpose of the floor for PSH may therefore differ from the purpose of the floor for modular Li-ion. For Li-ion, the floor may be required to bridge a recurring lifecycle cost and revenue gap. For PSH, the floor may function more as an investment-grade </w:t>
      </w:r>
      <w:r>
        <w:rPr>
          <w:rFonts w:ascii="Arial" w:hAnsi="Arial" w:eastAsia="Arial" w:cs="Arial"/>
          <w:color w:val="1d1d1f"/>
          <w:sz w:val="24"/>
        </w:rPr>
        <w:t xml:space="preserve">insurance mechanism against long-term policy, charging and revenue volatility.</w:t>
      </w:r>
      <w:r>
        <w:rPr>
          <w:rFonts w:ascii="Arial" w:hAnsi="Arial" w:eastAsia="Arial" w:cs="Arial"/>
          <w:color w:val="1d1d1f"/>
          <w:sz w:val="24"/>
          <w:szCs w:val="24"/>
          <w:highlight w:val="none"/>
        </w:rPr>
      </w:r>
      <w:r>
        <w:rPr>
          <w:rFonts w:ascii="Arial" w:hAnsi="Arial" w:eastAsia="Arial" w:cs="Arial"/>
          <w:color w:val="1d1d1f"/>
          <w:sz w:val="24"/>
          <w:szCs w:val="24"/>
          <w:highlight w:val="none"/>
        </w:rPr>
      </w:r>
    </w:p>
    <w:p w14:paraId="0C9112E7">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b/>
          <w:bCs/>
        </w:rPr>
      </w:pPr>
      <w:r>
        <w:rPr>
          <w:rFonts w:ascii="Arial" w:hAnsi="Arial" w:eastAsia="Arial" w:cs="Arial"/>
          <w:b/>
          <w:bCs/>
          <w:color w:val="1d1d1f"/>
          <w:sz w:val="24"/>
          <w:highlight w:val="none"/>
        </w:rPr>
        <w:t xml:space="preserve">Specific implication for Li-ion floor calibration</w:t>
      </w:r>
      <w:r>
        <w:rPr>
          <w:rFonts w:ascii="Arial" w:hAnsi="Arial" w:eastAsia="Arial" w:cs="Arial"/>
          <w:b/>
          <w:bCs/>
          <w:color w:val="1d1d1f"/>
          <w:sz w:val="24"/>
          <w:highlight w:val="none"/>
        </w:rPr>
      </w:r>
      <w:r>
        <w:rPr>
          <w:b/>
          <w:bCs/>
        </w:rPr>
      </w:r>
    </w:p>
    <w:p w14:paraId="151EB25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highlight w:val="none"/>
        </w:rPr>
        <w:t xml:space="preserve">F</w:t>
      </w:r>
      <w:r>
        <w:rPr>
          <w:rFonts w:ascii="Arial" w:hAnsi="Arial" w:eastAsia="Arial" w:cs="Arial"/>
          <w:color w:val="1d1d1f"/>
          <w:sz w:val="24"/>
          <w:highlight w:val="none"/>
        </w:rPr>
        <w:t xml:space="preserve">or the Window 1 Li-ion portfolio, the immediate calibration implication is clear: duration alone does not explain the modelled support gap for constrained assets such as Field Netherton. The gap reflects the compounding effect of physical constraint exposu</w:t>
      </w:r>
      <w:r>
        <w:rPr>
          <w:rFonts w:ascii="Arial" w:hAnsi="Arial" w:eastAsia="Arial" w:cs="Arial"/>
          <w:color w:val="1d1d1f"/>
          <w:sz w:val="24"/>
          <w:highlight w:val="none"/>
        </w:rPr>
        <w:t xml:space="preserve">r</w:t>
      </w:r>
      <w:r>
        <w:rPr>
          <w:rFonts w:ascii="Arial" w:hAnsi="Arial" w:eastAsia="Arial" w:cs="Arial"/>
          <w:color w:val="1d1d1f"/>
          <w:sz w:val="24"/>
          <w:highlight w:val="none"/>
        </w:rPr>
        <w:t xml:space="preserve">e and reduced revenue recovery against fixed access costs. Ofgem should therefore avoid applying a single national Li-ion duration curve. The Li-ion floor should be calibrated using duration as the primary variable, overlaid with an explicit constraint-exp</w:t>
      </w:r>
      <w:r>
        <w:rPr>
          <w:rFonts w:ascii="Arial" w:hAnsi="Arial" w:eastAsia="Arial" w:cs="Arial"/>
          <w:color w:val="1d1d1f"/>
          <w:sz w:val="24"/>
          <w:highlight w:val="none"/>
        </w:rPr>
        <w:t xml:space="preserve">osure coefficient for assets located behind persistently constrained boundaries such as SSEN-S.</w:t>
      </w:r>
      <w:r>
        <w:rPr>
          <w:rFonts w:ascii="Arial" w:hAnsi="Arial" w:eastAsia="Arial" w:cs="Arial"/>
          <w:color w:val="1d1d1f"/>
          <w:sz w:val="24"/>
          <w:highlight w:val="none"/>
        </w:rPr>
      </w:r>
      <w:r/>
    </w:p>
    <w:p w14:paraId="6A8028E6">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b/>
          <w:bCs/>
        </w:rPr>
      </w:pPr>
      <w:r>
        <w:rPr>
          <w:rFonts w:ascii="Arial" w:hAnsi="Arial" w:eastAsia="Arial" w:cs="Arial"/>
          <w:b/>
          <w:bCs/>
          <w:color w:val="1d1d1f"/>
          <w:sz w:val="24"/>
          <w:highlight w:val="none"/>
        </w:rPr>
        <w:t xml:space="preserve">Recommendations</w:t>
      </w:r>
      <w:r>
        <w:rPr>
          <w:rFonts w:ascii="Arial" w:hAnsi="Arial" w:eastAsia="Arial" w:cs="Arial"/>
          <w:b/>
          <w:bCs/>
          <w:color w:val="1d1d1f"/>
          <w:sz w:val="24"/>
          <w:highlight w:val="none"/>
        </w:rPr>
      </w:r>
      <w:r>
        <w:rPr>
          <w:b/>
          <w:bCs/>
        </w:rPr>
      </w:r>
    </w:p>
    <w:p w14:paraId="6E1DC823">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highlight w:val="none"/>
        </w:rPr>
      </w:r>
      <w:r>
        <w:rPr>
          <w:rFonts w:ascii="Arial" w:hAnsi="Arial" w:eastAsia="Arial" w:cs="Arial"/>
          <w:color w:val="1d1d1f"/>
          <w:sz w:val="24"/>
          <w:highlight w:val="none"/>
        </w:rPr>
        <w:t xml:space="preserve">Ofgem must explicitly test physical constraint exposure in Window 1 Li-ion floor calibration, while treating TNUoS volatility as a related but separate review risk. Three approaches should be considered:</w:t>
      </w:r>
      <w:r>
        <w:rPr>
          <w:rFonts w:ascii="Arial" w:hAnsi="Arial" w:eastAsia="Arial" w:cs="Arial"/>
          <w:color w:val="1d1d1f"/>
          <w:sz w:val="24"/>
          <w:highlight w:val="none"/>
        </w:rPr>
      </w:r>
      <w:r/>
    </w:p>
    <w:p w14:paraId="2A9FDE5C">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highlight w:val="none"/>
        </w:rPr>
        <w:t xml:space="preserve">1.</w:t>
        <w:tab/>
      </w:r>
      <w:r>
        <w:rPr>
          <w:rFonts w:ascii="Arial" w:hAnsi="Arial" w:eastAsia="Arial" w:cs="Arial"/>
          <w:b/>
          <w:bCs/>
          <w:color w:val="1d1d1f"/>
          <w:sz w:val="24"/>
          <w:highlight w:val="none"/>
        </w:rPr>
        <w:t xml:space="preserve">Locational floor adjuster:</w:t>
      </w:r>
      <w:r>
        <w:rPr>
          <w:rFonts w:ascii="Arial" w:hAnsi="Arial" w:eastAsia="Arial" w:cs="Arial"/>
          <w:color w:val="1d1d1f"/>
          <w:sz w:val="24"/>
          <w:highlight w:val="none"/>
        </w:rPr>
        <w:t xml:space="preserve"> </w:t>
      </w:r>
      <w:r>
        <w:rPr>
          <w:rFonts w:ascii="Arial" w:hAnsi="Arial" w:eastAsia="Arial" w:cs="Arial"/>
          <w:color w:val="1d1d1f"/>
          <w:sz w:val="24"/>
          <w:highlight w:val="none"/>
        </w:rPr>
        <w:t xml:space="preserve">Introduce a locational constraint coefficient for projects behind highly constrained boundaries, calibrated to physical curtailment exposure and the resulting fixed-cost revenue squeeze. TNUoS exposure should be treated through a separate review clause rat</w:t>
      </w:r>
      <w:r>
        <w:rPr>
          <w:rFonts w:ascii="Arial" w:hAnsi="Arial" w:eastAsia="Arial" w:cs="Arial"/>
          <w:color w:val="1d1d1f"/>
          <w:sz w:val="24"/>
          <w:highlight w:val="none"/>
        </w:rPr>
        <w:t xml:space="preserve">her than hard-coded into the initial coefficient.</w:t>
      </w:r>
      <w:r>
        <w:rPr>
          <w:rFonts w:ascii="Arial" w:hAnsi="Arial" w:eastAsia="Arial" w:cs="Arial"/>
          <w:color w:val="1d1d1f"/>
          <w:sz w:val="24"/>
          <w:highlight w:val="none"/>
        </w:rPr>
      </w:r>
      <w:r/>
    </w:p>
    <w:p w14:paraId="68155359">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highlight w:val="none"/>
        </w:rPr>
        <w:t xml:space="preserve">2.</w:t>
        <w:tab/>
      </w:r>
      <w:r>
        <w:rPr>
          <w:rFonts w:ascii="Arial" w:hAnsi="Arial" w:eastAsia="Arial" w:cs="Arial"/>
          <w:b/>
          <w:bCs/>
          <w:color w:val="1d1d1f"/>
          <w:sz w:val="24"/>
          <w:highlight w:val="none"/>
        </w:rPr>
        <w:t xml:space="preserve">TNUoS volatility review clause:</w:t>
      </w:r>
      <w:r>
        <w:rPr>
          <w:rFonts w:ascii="Arial" w:hAnsi="Arial" w:eastAsia="Arial" w:cs="Arial"/>
          <w:color w:val="1d1d1f"/>
          <w:sz w:val="24"/>
          <w:highlight w:val="none"/>
        </w:rPr>
        <w:t xml:space="preserve"> </w:t>
      </w:r>
      <w:r>
        <w:rPr>
          <w:rFonts w:ascii="Arial" w:hAnsi="Arial" w:eastAsia="Arial" w:cs="Arial"/>
          <w:color w:val="1d1d1f"/>
          <w:sz w:val="24"/>
          <w:highlight w:val="none"/>
        </w:rPr>
        <w:t xml:space="preserve">Include a provision triggering a mandatory review if TNUoS charges for Scottish LDES assets materially exceed the assumptions embedded in floor calibration, coordinating with NESO’s Charging Modernisation timeline.</w:t>
      </w:r>
      <w:r>
        <w:rPr>
          <w:rFonts w:ascii="Arial" w:hAnsi="Arial" w:eastAsia="Arial" w:cs="Arial"/>
          <w:color w:val="1d1d1f"/>
          <w:sz w:val="24"/>
          <w:highlight w:val="none"/>
        </w:rPr>
      </w:r>
      <w:r/>
    </w:p>
    <w:p w14:paraId="55E00B2E">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highlight w:val="none"/>
        </w:rPr>
        <w:t xml:space="preserve">3.</w:t>
        <w:tab/>
      </w:r>
      <w:r>
        <w:rPr>
          <w:rFonts w:ascii="Arial" w:hAnsi="Arial" w:eastAsia="Arial" w:cs="Arial"/>
          <w:b/>
          <w:bCs/>
          <w:color w:val="1d1d1f"/>
          <w:sz w:val="24"/>
          <w:highlight w:val="none"/>
        </w:rPr>
        <w:t xml:space="preserve">Coordination mechanism:</w:t>
      </w:r>
      <w:r>
        <w:rPr>
          <w:rFonts w:ascii="Arial" w:hAnsi="Arial" w:eastAsia="Arial" w:cs="Arial"/>
          <w:color w:val="1d1d1f"/>
          <w:sz w:val="24"/>
          <w:highlight w:val="none"/>
        </w:rPr>
        <w:t xml:space="preserve"> </w:t>
      </w:r>
      <w:r>
        <w:rPr>
          <w:rFonts w:ascii="Arial" w:hAnsi="Arial" w:eastAsia="Arial" w:cs="Arial"/>
          <w:color w:val="1d1d1f"/>
          <w:sz w:val="24"/>
          <w:highlight w:val="none"/>
        </w:rPr>
        <w:t xml:space="preserve">Establish a formal protocol between the cap and floor regime and NESO’s Charging Modernisation Programme to ensure LDES assets demonstrating net system constraint reduction benefits are not inadvertently penalised by overlapping regulatory frameworks.</w:t>
      </w:r>
      <w:r>
        <w:rPr>
          <w:rFonts w:ascii="Arial" w:hAnsi="Arial" w:eastAsia="Arial" w:cs="Arial"/>
          <w:color w:val="1d1d1f"/>
          <w:sz w:val="24"/>
          <w:highlight w:val="none"/>
        </w:rPr>
      </w:r>
      <w:r/>
    </w:p>
    <w:p w14:paraId="5F9D69C4">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b/>
          <w:bCs/>
        </w:rPr>
      </w:pPr>
      <w:r>
        <w:rPr>
          <w:rFonts w:ascii="Arial" w:hAnsi="Arial" w:eastAsia="Arial" w:cs="Arial"/>
          <w:b/>
          <w:bCs/>
          <w:color w:val="1d1d1f"/>
          <w:sz w:val="24"/>
          <w:highlight w:val="none"/>
        </w:rPr>
        <w:t xml:space="preserve">Consumer protection and whole-system value</w:t>
      </w:r>
      <w:r>
        <w:rPr>
          <w:rFonts w:ascii="Arial" w:hAnsi="Arial" w:eastAsia="Arial" w:cs="Arial"/>
          <w:b/>
          <w:bCs/>
          <w:color w:val="1d1d1f"/>
          <w:sz w:val="24"/>
          <w:highlight w:val="none"/>
        </w:rPr>
      </w:r>
      <w:r>
        <w:rPr>
          <w:b/>
          <w:bCs/>
        </w:rPr>
      </w:r>
    </w:p>
    <w:p w14:paraId="144C4871">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This is ultimately a consumer protection issue. A framework that directs capital toward unconstrained sites with lower private support requirements may reduce near-term floor exposure, but risks under-delivering Li-ion storage in the locations where it pro</w:t>
      </w:r>
      <w:r>
        <w:rPr>
          <w:rFonts w:ascii="Arial" w:hAnsi="Arial" w:eastAsia="Arial" w:cs="Arial"/>
          <w:color w:val="1d1d1f"/>
          <w:sz w:val="24"/>
        </w:rPr>
        <w:t xml:space="preserve">vides the greatest system value. Conversely, a framework that recognises locational constraint value can reduce whole-system costs by aligning battery storage investment support with the places where long-duration storage helps relieve persistent network c</w:t>
      </w:r>
      <w:r>
        <w:rPr>
          <w:rFonts w:ascii="Arial" w:hAnsi="Arial" w:eastAsia="Arial" w:cs="Arial"/>
          <w:color w:val="1d1d1f"/>
          <w:sz w:val="24"/>
        </w:rPr>
        <w:t xml:space="preserve">onstraints.</w:t>
      </w:r>
      <w:r/>
    </w:p>
    <w:p w14:paraId="6080C3FC">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rFonts w:ascii="Arial" w:hAnsi="Arial" w:eastAsia="Arial" w:cs="Arial"/>
          <w:color w:val="1d1d1f"/>
          <w:sz w:val="24"/>
          <w:szCs w:val="24"/>
          <w:highlight w:val="none"/>
        </w:rPr>
      </w:pPr>
      <w:r>
        <w:rPr>
          <w:rFonts w:ascii="Arial" w:hAnsi="Arial" w:eastAsia="Arial" w:cs="Arial"/>
          <w:color w:val="1d1d1f"/>
          <w:sz w:val="24"/>
        </w:rPr>
        <w:t xml:space="preserve">We recommend that Ofgem treat Section 5.4 strictly as a Li-ion calibration finding. For battery projects, geographic constraint exposure should be reflected directly in the floor calculation through a locational constraint coefficient, separate from any la</w:t>
      </w:r>
      <w:r>
        <w:rPr>
          <w:rFonts w:ascii="Arial" w:hAnsi="Arial" w:eastAsia="Arial" w:cs="Arial"/>
          <w:color w:val="1d1d1f"/>
          <w:sz w:val="24"/>
        </w:rPr>
        <w:t xml:space="preserve">ter TNUoS volatility review. The final Window 1 framework should avoid relying solely on a national-average Li-ion calibration curve where project economics are materially shaped by local network constraints and reduced revenue recovery.</w:t>
      </w:r>
      <w:r>
        <w:rPr>
          <w:rFonts w:ascii="Arial" w:hAnsi="Arial" w:eastAsia="Arial" w:cs="Arial"/>
          <w:sz w:val="24"/>
        </w:rPr>
      </w:r>
      <w:r>
        <w:rPr>
          <w:rFonts w:ascii="Arial" w:hAnsi="Arial" w:eastAsia="Arial" w:cs="Arial"/>
          <w:color w:val="1d1d1f"/>
          <w:sz w:val="24"/>
          <w:szCs w:val="24"/>
          <w:highlight w:val="none"/>
        </w:rPr>
      </w: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sz w:val="24"/>
          <w:szCs w:val="24"/>
        </w:rPr>
      </w:r>
      <w:r>
        <w:rPr>
          <w:rFonts w:ascii="Arial" w:hAnsi="Arial" w:eastAsia="Arial" w:cs="Arial"/>
          <w:color w:val="1d1d1f"/>
          <w:sz w:val="24"/>
          <w:szCs w:val="24"/>
          <w:highlight w:val="none"/>
        </w:rPr>
      </w:r>
    </w:p>
    <w:p w14:paraId="6A84E3B0">
      <w:pPr>
        <w:pStyle w:val="839"/>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rFonts w:ascii="Arial" w:hAnsi="Arial" w:eastAsia="Arial" w:cs="Arial"/>
          <w:b/>
          <w:bCs/>
          <w:color w:val="1d1d1f"/>
          <w:spacing w:val="-5"/>
          <w:sz w:val="27"/>
          <w:szCs w:val="27"/>
          <w:highlight w:val="none"/>
        </w:rPr>
      </w:pPr>
      <w:r>
        <w:rPr>
          <w:rFonts w:ascii="Arial" w:hAnsi="Arial" w:eastAsia="Arial" w:cs="Arial"/>
          <w:b/>
          <w:color w:val="1d1d1f"/>
          <w:spacing w:val="-5"/>
          <w:sz w:val="27"/>
        </w:rPr>
        <w:t xml:space="preserve">5.5 Addendum: Capital Cost Penalty from Financing Long-Lived PSH Through a 25-Year Private Framework</w:t>
      </w:r>
      <w:r>
        <w:rPr>
          <w:rFonts w:ascii="Arial" w:hAnsi="Arial" w:eastAsia="Arial" w:cs="Arial"/>
          <w:b/>
          <w:bCs/>
          <w:color w:val="1d1d1f"/>
          <w:spacing w:val="-5"/>
          <w:sz w:val="27"/>
          <w:szCs w:val="27"/>
          <w:highlight w:val="none"/>
        </w:rPr>
      </w:r>
    </w:p>
    <w:p w14:paraId="4DBB6D0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Policy Conclusion:</w:t>
      </w:r>
      <w:r>
        <w:rPr>
          <w:rFonts w:ascii="Arial" w:hAnsi="Arial" w:eastAsia="Arial" w:cs="Arial"/>
          <w:color w:val="1d1d1f"/>
          <w:sz w:val="24"/>
        </w:rPr>
        <w:t xml:space="preserve"> A structural mismatch exists between the 60–80 year physical life of PSH and the 25-year private cap and floor framework, creating a material financing wedge. DESNZ and HM Treasury should consider public financing tools so that Ofgem is not required to ov</w:t>
      </w:r>
      <w:r>
        <w:rPr>
          <w:rFonts w:ascii="Arial" w:hAnsi="Arial" w:eastAsia="Arial" w:cs="Arial"/>
          <w:color w:val="1d1d1f"/>
          <w:sz w:val="24"/>
        </w:rPr>
        <w:t xml:space="preserve">er-calibrate the floor to compensate for private risk premiums.</w:t>
      </w:r>
      <w:r/>
    </w:p>
    <w:p w14:paraId="2AEDB575">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Bridging the Modelled Floor and the Financing Reality</w:t>
      </w:r>
      <w:r>
        <w:rPr>
          <w:rFonts w:ascii="Arial" w:hAnsi="Arial" w:eastAsia="Arial" w:cs="Arial"/>
          <w:color w:val="1d1d1f"/>
          <w:sz w:val="24"/>
        </w:rPr>
        <w:t xml:space="preserve">: The central finding in Section 4.3, that PSH shows near-zero modelled residual floor requirement under stress, holds within the modelled revenue stack and is not overturned here. The argument in this section concerns a different problem: the cost of fina</w:t>
      </w:r>
      <w:r>
        <w:rPr>
          <w:rFonts w:ascii="Arial" w:hAnsi="Arial" w:eastAsia="Arial" w:cs="Arial"/>
          <w:color w:val="1d1d1f"/>
          <w:sz w:val="24"/>
        </w:rPr>
        <w:t xml:space="preserve">ncing uncertainty over a multi-decade asset life that the model's 25-year horizon cannot fully represent.</w:t>
      </w:r>
      <w:r/>
    </w:p>
    <w:p w14:paraId="1503027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Private project finance cannot fully hedge multi-decade regulatory shifts, including changes to transmission charging methodology, locational network charging and wider market-design reform. Lenders therefore incorporate a regulatory and policy-risk premiu</w:t>
      </w:r>
      <w:r>
        <w:rPr>
          <w:rFonts w:ascii="Arial" w:hAnsi="Arial" w:eastAsia="Arial" w:cs="Arial"/>
          <w:color w:val="1d1d1f"/>
          <w:sz w:val="24"/>
        </w:rPr>
        <w:t xml:space="preserve">m into the required return. For long-lived civil assets, this financing wedge can be material.</w:t>
      </w:r>
      <w:r/>
    </w:p>
    <w:p w14:paraId="4223CFFB">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Quantifying the Financing Wedge</w:t>
      </w:r>
      <w:r>
        <w:rPr>
          <w:rFonts w:ascii="Arial" w:hAnsi="Arial" w:eastAsia="Arial" w:cs="Arial"/>
          <w:color w:val="1d1d1f"/>
          <w:sz w:val="24"/>
        </w:rPr>
        <w:t xml:space="preserve">: To illustrate the scale of the effect, we compare a representative 1,500 MW / 30 GWh PSH asset with £2.0bn capex under two financing structures:</w:t>
      </w:r>
      <w:r/>
    </w:p>
    <w:tbl>
      <w:tblPr>
        <w:tblStyle w:val="711"/>
        <w:tblInd w:w="0" w:type="dxa"/>
        <w:tblW w:w="0" w:type="auto"/>
        <w:tblBorders>
          <w:top w:val="single" w:color="e3e3e3" w:sz="0" w:space="0"/>
          <w:left w:val="single" w:color="e3e3e3" w:sz="0" w:space="0"/>
          <w:bottom w:val="single" w:color="e3e3e3" w:sz="0" w:space="0"/>
          <w:right w:val="single" w:color="e3e3e3" w:sz="0" w:space="0"/>
          <w:insideH w:val="none" w:color="000000" w:sz="4" w:space="0"/>
          <w:insideV w:val="none" w:color="000000" w:sz="4" w:space="0"/>
        </w:tblBorders>
        <w:tblLayout w:type="autofit"/>
        <w:tblLook w:val="04A0" w:firstRow="1" w:lastRow="0" w:firstColumn="1" w:lastColumn="0" w:noHBand="0" w:noVBand="1"/>
      </w:tblPr>
      <w:tblGrid>
        <w:gridCol w:w="1871"/>
        <w:gridCol w:w="1871"/>
        <w:gridCol w:w="1871"/>
        <w:gridCol w:w="1871"/>
        <w:gridCol w:w="1871"/>
      </w:tblGrid>
      <w:tr>
        <w:trPr/>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5F3CD136">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000000"/>
                <w:sz w:val="21"/>
              </w:rPr>
              <w:t xml:space="preserve">Financing case</w:t>
            </w:r>
            <w:r/>
          </w:p>
        </w:tc>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72C3E1FE">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000000"/>
                <w:sz w:val="21"/>
              </w:rPr>
              <w:t xml:space="preserve">WACC</w:t>
            </w:r>
            <w:r/>
          </w:p>
        </w:tc>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4FDF395F">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000000"/>
                <w:sz w:val="21"/>
              </w:rPr>
              <w:t xml:space="preserve">Recovery term</w:t>
            </w:r>
            <w:r/>
          </w:p>
        </w:tc>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49F6699A">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000000"/>
                <w:sz w:val="21"/>
              </w:rPr>
              <w:t xml:space="preserve">Annual capital recovery</w:t>
            </w:r>
            <w:r/>
          </w:p>
        </w:tc>
        <w:tc>
          <w:tcPr>
            <w:tcBorders>
              <w:top w:val="single" w:color="e3e3e3" w:sz="0" w:space="0"/>
              <w:left w:val="single" w:color="e3e3e3" w:sz="0" w:space="0"/>
              <w:bottom w:val="single" w:color="e1e3ea" w:sz="4" w:space="0"/>
            </w:tcBorders>
            <w:tcMar>
              <w:left w:w="180" w:type="dxa"/>
              <w:top w:w="120" w:type="dxa"/>
              <w:right w:w="180" w:type="dxa"/>
              <w:bottom w:w="120" w:type="dxa"/>
            </w:tcMar>
            <w:tcW w:w="1871" w:type="dxa"/>
            <w:vAlign w:val="center"/>
          </w:tcPr>
          <w:p w14:paraId="5320CFC1">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b/>
                <w:color w:val="000000"/>
                <w:sz w:val="21"/>
              </w:rPr>
              <w:t xml:space="preserve">Capital recovery intensity</w:t>
            </w:r>
            <w:r/>
          </w:p>
        </w:tc>
      </w:tr>
      <w:tr>
        <w:trPr/>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6ECCBC34">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Private project finance</w:t>
            </w:r>
            <w:r/>
          </w:p>
        </w:tc>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015B375B">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9.0%</w:t>
            </w:r>
            <w:r/>
          </w:p>
        </w:tc>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636DCEAC">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25 years</w:t>
            </w:r>
            <w:r/>
          </w:p>
        </w:tc>
        <w:tc>
          <w:tcPr>
            <w:tcBorders>
              <w:top w:val="single" w:color="e3e3e3" w:sz="0" w:space="0"/>
              <w:left w:val="single" w:color="e3e3e3" w:sz="0" w:space="0"/>
              <w:bottom w:val="single" w:color="e1e3ea" w:sz="4" w:space="0"/>
              <w:right w:val="single" w:color="e1e3ea" w:sz="4" w:space="0"/>
            </w:tcBorders>
            <w:tcMar>
              <w:left w:w="180" w:type="dxa"/>
              <w:top w:w="120" w:type="dxa"/>
              <w:right w:w="180" w:type="dxa"/>
              <w:bottom w:w="120" w:type="dxa"/>
            </w:tcMar>
            <w:tcW w:w="1871" w:type="dxa"/>
            <w:vAlign w:val="center"/>
          </w:tcPr>
          <w:p w14:paraId="5A113B01">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£203.6m/yr</w:t>
            </w:r>
            <w:r/>
          </w:p>
        </w:tc>
        <w:tc>
          <w:tcPr>
            <w:tcBorders>
              <w:top w:val="single" w:color="e3e3e3" w:sz="0" w:space="0"/>
              <w:left w:val="single" w:color="e3e3e3" w:sz="0" w:space="0"/>
              <w:bottom w:val="single" w:color="e1e3ea" w:sz="4" w:space="0"/>
            </w:tcBorders>
            <w:tcMar>
              <w:left w:w="180" w:type="dxa"/>
              <w:top w:w="120" w:type="dxa"/>
              <w:right w:w="180" w:type="dxa"/>
              <w:bottom w:w="120" w:type="dxa"/>
            </w:tcMar>
            <w:tcW w:w="1871" w:type="dxa"/>
            <w:vAlign w:val="center"/>
          </w:tcPr>
          <w:p w14:paraId="266203D3">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£135.7k/MW/yr</w:t>
            </w:r>
            <w:r/>
          </w:p>
        </w:tc>
      </w:tr>
      <w:tr>
        <w:trPr/>
        <w:tc>
          <w:tcPr>
            <w:tcBorders>
              <w:top w:val="single" w:color="e3e3e3" w:sz="0" w:space="0"/>
              <w:left w:val="single" w:color="e3e3e3" w:sz="0" w:space="0"/>
              <w:right w:val="single" w:color="e1e3ea" w:sz="4" w:space="0"/>
            </w:tcBorders>
            <w:tcMar>
              <w:left w:w="180" w:type="dxa"/>
              <w:top w:w="120" w:type="dxa"/>
              <w:right w:w="180" w:type="dxa"/>
              <w:bottom w:w="120" w:type="dxa"/>
            </w:tcMar>
            <w:tcW w:w="1871" w:type="dxa"/>
            <w:vAlign w:val="center"/>
          </w:tcPr>
          <w:p w14:paraId="36F2E110">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Public / low-cost backing</w:t>
            </w:r>
            <w:r/>
          </w:p>
        </w:tc>
        <w:tc>
          <w:tcPr>
            <w:tcBorders>
              <w:top w:val="single" w:color="e3e3e3" w:sz="0" w:space="0"/>
              <w:left w:val="single" w:color="e3e3e3" w:sz="0" w:space="0"/>
              <w:right w:val="single" w:color="e1e3ea" w:sz="4" w:space="0"/>
            </w:tcBorders>
            <w:tcMar>
              <w:left w:w="180" w:type="dxa"/>
              <w:top w:w="120" w:type="dxa"/>
              <w:right w:w="180" w:type="dxa"/>
              <w:bottom w:w="120" w:type="dxa"/>
            </w:tcMar>
            <w:tcW w:w="1871" w:type="dxa"/>
            <w:vAlign w:val="center"/>
          </w:tcPr>
          <w:p w14:paraId="75090792">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5.0%</w:t>
            </w:r>
            <w:r/>
          </w:p>
        </w:tc>
        <w:tc>
          <w:tcPr>
            <w:tcBorders>
              <w:top w:val="single" w:color="e3e3e3" w:sz="0" w:space="0"/>
              <w:left w:val="single" w:color="e3e3e3" w:sz="0" w:space="0"/>
              <w:right w:val="single" w:color="e1e3ea" w:sz="4" w:space="0"/>
            </w:tcBorders>
            <w:tcMar>
              <w:left w:w="180" w:type="dxa"/>
              <w:top w:w="120" w:type="dxa"/>
              <w:right w:w="180" w:type="dxa"/>
              <w:bottom w:w="120" w:type="dxa"/>
            </w:tcMar>
            <w:tcW w:w="1871" w:type="dxa"/>
            <w:vAlign w:val="center"/>
          </w:tcPr>
          <w:p w14:paraId="4E0B1F83">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50 years</w:t>
            </w:r>
            <w:r/>
          </w:p>
        </w:tc>
        <w:tc>
          <w:tcPr>
            <w:tcBorders>
              <w:top w:val="single" w:color="e3e3e3" w:sz="0" w:space="0"/>
              <w:left w:val="single" w:color="e3e3e3" w:sz="0" w:space="0"/>
              <w:right w:val="single" w:color="e1e3ea" w:sz="4" w:space="0"/>
            </w:tcBorders>
            <w:tcMar>
              <w:left w:w="180" w:type="dxa"/>
              <w:top w:w="120" w:type="dxa"/>
              <w:right w:w="180" w:type="dxa"/>
              <w:bottom w:w="120" w:type="dxa"/>
            </w:tcMar>
            <w:tcW w:w="1871" w:type="dxa"/>
            <w:vAlign w:val="center"/>
          </w:tcPr>
          <w:p w14:paraId="675C4BB3">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£109.6m/yr</w:t>
            </w:r>
            <w:r/>
          </w:p>
        </w:tc>
        <w:tc>
          <w:tcPr>
            <w:tcBorders>
              <w:top w:val="single" w:color="e3e3e3" w:sz="0" w:space="0"/>
              <w:left w:val="single" w:color="e3e3e3" w:sz="0" w:space="0"/>
            </w:tcBorders>
            <w:tcMar>
              <w:left w:w="180" w:type="dxa"/>
              <w:top w:w="120" w:type="dxa"/>
              <w:right w:w="180" w:type="dxa"/>
              <w:bottom w:w="120" w:type="dxa"/>
            </w:tcMar>
            <w:tcW w:w="1871" w:type="dxa"/>
            <w:vAlign w:val="center"/>
          </w:tcPr>
          <w:p w14:paraId="12CA727C">
            <w:pPr>
              <w:pBdr>
                <w:top w:val="single" w:color="e3e3e3" w:sz="0" w:space="0"/>
                <w:left w:val="single" w:color="e3e3e3" w:sz="0" w:space="0"/>
                <w:bottom w:val="single" w:color="e3e3e3" w:sz="0" w:space="0"/>
                <w:right w:val="single" w:color="e3e3e3" w:sz="0" w:space="0"/>
              </w:pBdr>
              <w:shd w:val="clear" w:color="ffffff" w:fill="ffffff"/>
              <w:spacing w:after="0" w:before="0" w:line="360" w:lineRule="atLeast"/>
              <w:ind w:right="0" w:firstLine="0" w:left="0"/>
              <w:rPr/>
            </w:pPr>
            <w:r>
              <w:rPr>
                <w:rFonts w:ascii="Arial" w:hAnsi="Arial" w:eastAsia="Arial" w:cs="Arial"/>
                <w:color w:val="000000"/>
                <w:sz w:val="21"/>
              </w:rPr>
              <w:t xml:space="preserve">£73.0k/MW/yr</w:t>
            </w:r>
            <w:r/>
          </w:p>
        </w:tc>
      </w:tr>
    </w:tbl>
    <w:p w14:paraId="2FC74BED">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color w:val="1d1d1f"/>
          <w:sz w:val="24"/>
        </w:rPr>
        <w:t xml:space="preserve">The lower-cost financing case reduces annual capital service by £94.1m/yr for the representative asset, equivalent to £62.7k/MW/yr. This is a 46.2% reduction in capital service intensity.</w:t>
      </w:r>
      <w:r/>
    </w:p>
    <w:p w14:paraId="529BB3DF">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rFonts w:ascii="Arial" w:hAnsi="Arial" w:eastAsia="Arial" w:cs="Arial"/>
          <w:color w:val="1d1d1f"/>
          <w:sz w:val="24"/>
          <w:szCs w:val="24"/>
          <w:highlight w:val="none"/>
        </w:rPr>
      </w:pPr>
      <w:r>
        <w:rPr>
          <w:rFonts w:ascii="Arial" w:hAnsi="Arial" w:eastAsia="Arial" w:cs="Arial"/>
          <w:color w:val="1d1d1f"/>
          <w:sz w:val="24"/>
        </w:rPr>
        <w:t xml:space="preserve">Applied to the 3.9 GW of PSH in the Window 1 minded-to portfolio, the financing wedge is approximately £245m/yr under the representative capex assumption. The value would be higher if applied to the modelled project-level PSH capex values in Annex C. This </w:t>
      </w:r>
      <w:r>
        <w:rPr>
          <w:rFonts w:ascii="Arial" w:hAnsi="Arial" w:eastAsia="Arial" w:cs="Arial"/>
          <w:color w:val="1d1d1f"/>
          <w:sz w:val="24"/>
        </w:rPr>
        <w:t xml:space="preserve">illustrates that a large part of the apparent PSH support requirement may reflect financing structure and regulatory-risk allocation, rather than an intrinsic technology cost defect.</w:t>
      </w:r>
      <w:r>
        <w:rPr>
          <w:rFonts w:ascii="Arial" w:hAnsi="Arial" w:eastAsia="Arial" w:cs="Arial"/>
          <w:sz w:val="24"/>
        </w:rPr>
      </w:r>
      <w:r>
        <w:rPr>
          <w:rFonts w:ascii="Arial" w:hAnsi="Arial" w:eastAsia="Arial" w:cs="Arial"/>
          <w:color w:val="1d1d1f"/>
          <w:sz w:val="24"/>
          <w:szCs w:val="24"/>
          <w:highlight w:val="none"/>
        </w:rPr>
      </w:r>
    </w:p>
    <w:p w14:paraId="3DB49125">
      <w:pPr>
        <w:pStyle w:val="839"/>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pPr>
      <w:r>
        <w:rPr>
          <w:rFonts w:ascii="Arial" w:hAnsi="Arial" w:eastAsia="Arial" w:cs="Arial"/>
          <w:b/>
          <w:color w:val="1d1d1f"/>
          <w:spacing w:val="-5"/>
          <w:sz w:val="27"/>
          <w:highlight w:val="none"/>
        </w:rPr>
      </w:r>
      <w:r>
        <w:rPr>
          <w:rFonts w:ascii="Arial" w:hAnsi="Arial" w:eastAsia="Arial" w:cs="Arial"/>
          <w:b/>
          <w:color w:val="1d1d1f"/>
          <w:spacing w:val="-5"/>
          <w:sz w:val="27"/>
          <w:highlight w:val="none"/>
        </w:rPr>
      </w:r>
      <w:r>
        <w:rPr>
          <w:rFonts w:ascii="Arial" w:hAnsi="Arial" w:eastAsia="Arial" w:cs="Arial"/>
          <w:b/>
          <w:color w:val="1d1d1f"/>
          <w:spacing w:val="-5"/>
          <w:sz w:val="27"/>
          <w:highlight w:val="none"/>
        </w:rPr>
        <w:t xml:space="preserve">Implications for Consumers and Institutional Remit: The £245m/yr Avoidable Risk Premium</w:t>
      </w:r>
      <w:r>
        <w:rPr>
          <w:rFonts w:ascii="Arial" w:hAnsi="Arial" w:eastAsia="Arial" w:cs="Arial"/>
          <w:b/>
          <w:color w:val="1d1d1f"/>
          <w:spacing w:val="-5"/>
          <w:sz w:val="27"/>
          <w:highlight w:val="none"/>
        </w:rPr>
      </w:r>
      <w:r>
        <w:rPr>
          <w:rFonts w:ascii="Arial" w:hAnsi="Arial" w:eastAsia="Arial" w:cs="Arial"/>
          <w:b/>
          <w:color w:val="1d1d1f"/>
          <w:spacing w:val="-5"/>
          <w:sz w:val="27"/>
          <w:highlight w:val="none"/>
        </w:rPr>
      </w:r>
    </w:p>
    <w:p w14:paraId="3AF2D0B1">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This structural mismatch creates a financing cost that flows directly to the consumer. When multi-decade regulatory, policy, and transmission-charging risks are left entirely to private project finance, lenders price them into their required return. The re</w:t>
      </w:r>
      <w:r>
        <w:rPr>
          <w:rFonts w:ascii="Arial" w:hAnsi="Arial" w:eastAsia="Arial" w:cs="Arial"/>
          <w:color w:val="1d1d1f"/>
          <w:sz w:val="24"/>
        </w:rPr>
        <w:t xml:space="preserve">sult is an artificially inflated cap and floor revenue floor.</w:t>
      </w:r>
      <w:r/>
    </w:p>
    <w:p w14:paraId="13ABA934">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The mechanics of this gap translate to an estimated £245 million per year in upward pressure on consumer bills across the 3.9 GW Window 1 PSH portfolio. This premium does not procure additional storage capacity, civil engineering, operational flexibility, </w:t>
      </w:r>
      <w:r>
        <w:rPr>
          <w:rFonts w:ascii="Arial" w:hAnsi="Arial" w:eastAsia="Arial" w:cs="Arial"/>
          <w:color w:val="1d1d1f"/>
          <w:sz w:val="24"/>
        </w:rPr>
        <w:t xml:space="preserve">or physical grid infrastructure. It is a deadweight cost paid exclusively to compensate private capital for bearing long-term regulatory uncertainty—uncertainty that public institutions are better placed to manage directly.</w:t>
      </w:r>
      <w:r/>
    </w:p>
    <w:p w14:paraId="269F1C1F">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This conclusion is consistent with market-design principles, not opposed to them. Efficient market design does not demand that all risks be transferred to private capital regardless of their origin. It demands that risks be allocated to the party best able</w:t>
      </w:r>
      <w:r>
        <w:rPr>
          <w:rFonts w:ascii="Arial" w:hAnsi="Arial" w:eastAsia="Arial" w:cs="Arial"/>
          <w:color w:val="1d1d1f"/>
          <w:sz w:val="24"/>
        </w:rPr>
        <w:t xml:space="preserve"> to manage them at the lowest whole-system cost. Construction risk, operational risk, and technology-performance risk appropriately sit with project sponsors. By contrast, multi-decade transmission charging methodology, locational network charging, and mar</w:t>
      </w:r>
      <w:r>
        <w:rPr>
          <w:rFonts w:ascii="Arial" w:hAnsi="Arial" w:eastAsia="Arial" w:cs="Arial"/>
          <w:color w:val="1d1d1f"/>
          <w:sz w:val="24"/>
        </w:rPr>
        <w:t xml:space="preserve">ket-design reform are public risks. If those risks are transferred wholesale to private project finance, they will be priced into the WACC and recovered from consumers through a higher floor. That is not efficient risk transfer; it is expensive risk recycl</w:t>
      </w:r>
      <w:r>
        <w:rPr>
          <w:rFonts w:ascii="Arial" w:hAnsi="Arial" w:eastAsia="Arial" w:cs="Arial"/>
          <w:color w:val="1d1d1f"/>
          <w:sz w:val="24"/>
        </w:rPr>
        <w:t xml:space="preserve">ing.</w:t>
      </w:r>
      <w:r/>
    </w:p>
    <w:p w14:paraId="26CEA627">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This defines the boundary of Ofgem’s institutional remit. Ofgem must calibrate the cap and floor regime to reflect efficient project economics, but it should not over-calibrate to absorb avoidable private risk premiums born of unresolved policy uncertainty</w:t>
      </w:r>
      <w:r>
        <w:rPr>
          <w:rFonts w:ascii="Arial" w:hAnsi="Arial" w:eastAsia="Arial" w:cs="Arial"/>
          <w:color w:val="1d1d1f"/>
          <w:sz w:val="24"/>
        </w:rPr>
        <w:t xml:space="preserve">. Where those risks sit more naturally with HM Treasury, DESNZ, or public infrastructure-financing institutions, the lower-cost route is to manage them directly rather than embedding them into consumer-funded floor payments.</w:t>
      </w:r>
      <w:r/>
    </w:p>
    <w:p w14:paraId="1E9ED03D">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rFonts w:ascii="Arial" w:hAnsi="Arial" w:eastAsia="Arial" w:cs="Arial"/>
          <w:color w:val="1d1d1f"/>
          <w:sz w:val="24"/>
          <w:szCs w:val="24"/>
          <w:highlight w:val="none"/>
        </w:rPr>
      </w:pPr>
      <w:r>
        <w:rPr>
          <w:rFonts w:ascii="Arial" w:hAnsi="Arial" w:eastAsia="Arial" w:cs="Arial"/>
          <w:color w:val="1d1d1f"/>
          <w:sz w:val="24"/>
        </w:rPr>
        <w:t xml:space="preserve">We therefore recommend that DESNZ and HM Treasury explore complementary financing tools for Window 1 PSH assets, including National Wealth Fund debt, public guarantees, construction-period risk sharing, or other infrastructure-style financing mechanisms de</w:t>
      </w:r>
      <w:r>
        <w:rPr>
          <w:rFonts w:ascii="Arial" w:hAnsi="Arial" w:eastAsia="Arial" w:cs="Arial"/>
          <w:color w:val="1d1d1f"/>
          <w:sz w:val="24"/>
        </w:rPr>
        <w:t xml:space="preserve">signed for long-lived strategic assets. The policy objective must be to minimise the total consumer cost of delivering system-critical PSH, not simply to minimise the visible floor payment within Ofgem’s regime.</w:t>
      </w:r>
      <w:r>
        <w:rPr>
          <w:rFonts w:ascii="Arial" w:hAnsi="Arial" w:eastAsia="Arial" w:cs="Arial"/>
          <w:sz w:val="24"/>
        </w:rPr>
      </w:r>
    </w:p>
    <w:p w14:paraId="65D260A4">
      <w:pPr>
        <w:pStyle w:val="839"/>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pPr>
      <w:r>
        <w:rPr>
          <w:rFonts w:ascii="Arial" w:hAnsi="Arial" w:eastAsia="Arial" w:cs="Arial"/>
          <w:b/>
          <w:color w:val="1d1d1f"/>
          <w:spacing w:val="-5"/>
          <w:sz w:val="27"/>
        </w:rPr>
        <w:t xml:space="preserve">Overall conclusion: Differentiated calibration, not uniform support</w:t>
      </w:r>
      <w:r/>
    </w:p>
    <w:p w14:paraId="613B0C14">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Sections 5.4 and 5.5 demonstrate that the Window 1 portfolio cannot be treated as a uniform capacity block. Li-ion and PSH face fundamentally different financeability problems and require distinct regulatory responses.</w:t>
      </w:r>
      <w:r/>
    </w:p>
    <w:p w14:paraId="05C76F02">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b/>
          <w:color w:val="1d1d1f"/>
          <w:sz w:val="24"/>
        </w:rPr>
        <w:t xml:space="preserve">For Li-ion, the issue is calibration.</w:t>
      </w:r>
      <w:r>
        <w:rPr>
          <w:rFonts w:ascii="Arial" w:hAnsi="Arial" w:eastAsia="Arial" w:cs="Arial"/>
          <w:color w:val="1d1d1f"/>
          <w:sz w:val="24"/>
        </w:rPr>
        <w:t xml:space="preserve"> Duration must remain the primary driver of the floor, but constrained assets behind boundaries such as SSEN-S face a dual penalty: a physical bottleneck and a fixed tollgate. To resolve this, Ofgem must implement a locational constraint coefficient for ph</w:t>
      </w:r>
      <w:r>
        <w:rPr>
          <w:rFonts w:ascii="Arial" w:hAnsi="Arial" w:eastAsia="Arial" w:cs="Arial"/>
          <w:color w:val="1d1d1f"/>
          <w:sz w:val="24"/>
        </w:rPr>
        <w:t xml:space="preserve">ysical curtailment, pair it with a TNUoS volatility review clause to manage regulatory uncertainty, and establish a coordination protocol with NESO to prevent overlapping network penalties.</w:t>
      </w:r>
      <w:r/>
    </w:p>
    <w:p w14:paraId="52781B6D">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b/>
          <w:color w:val="1d1d1f"/>
          <w:sz w:val="24"/>
        </w:rPr>
        <w:t xml:space="preserve">For PSH, the issue is structural financing.</w:t>
      </w:r>
      <w:r>
        <w:rPr>
          <w:rFonts w:ascii="Arial" w:hAnsi="Arial" w:eastAsia="Arial" w:cs="Arial"/>
          <w:color w:val="1d1d1f"/>
          <w:sz w:val="24"/>
        </w:rPr>
        <w:t xml:space="preserve"> It is not an operating support gap under central market assumptions. It is the financing penalty created when 60–80 year civil infrastructure is forced through a 25-year private framework while carrying unhedgeable policy, charging, and market-design risk</w:t>
      </w:r>
      <w:r>
        <w:rPr>
          <w:rFonts w:ascii="Arial" w:hAnsi="Arial" w:eastAsia="Arial" w:cs="Arial"/>
          <w:color w:val="1d1d1f"/>
          <w:sz w:val="24"/>
        </w:rPr>
        <w:t xml:space="preserve">.</w:t>
      </w:r>
      <w:r/>
    </w:p>
    <w:p w14:paraId="42EF3E2A">
      <w:pPr>
        <w:pBdr>
          <w:top w:val="single" w:color="e3e3e3" w:sz="0" w:space="0"/>
          <w:left w:val="single" w:color="e3e3e3" w:sz="0" w:space="0"/>
          <w:bottom w:val="single" w:color="e3e3e3" w:sz="0" w:space="0"/>
          <w:right w:val="single" w:color="e3e3e3" w:sz="0" w:space="0"/>
        </w:pBdr>
        <w:shd w:val="clear" w:color="ffffff" w:fill="ffffff"/>
        <w:spacing w:after="239" w:before="239"/>
        <w:ind w:right="0" w:firstLine="0" w:left="0"/>
        <w:rPr/>
      </w:pPr>
      <w:r>
        <w:rPr>
          <w:rFonts w:ascii="Arial" w:hAnsi="Arial" w:eastAsia="Arial" w:cs="Arial"/>
          <w:color w:val="1d1d1f"/>
          <w:sz w:val="24"/>
        </w:rPr>
        <w:t xml:space="preserve">The consumer protection objective is not to raise support across the board; it is to allocate risk efficiently. Ofgem must calibrate Li-ion floors to the physical economics of constrained battery assets, while DESNZ and HM Treasury must deploy infrastructu</w:t>
      </w:r>
      <w:r>
        <w:rPr>
          <w:rFonts w:ascii="Arial" w:hAnsi="Arial" w:eastAsia="Arial" w:cs="Arial"/>
          <w:color w:val="1d1d1f"/>
          <w:sz w:val="24"/>
        </w:rPr>
        <w:t xml:space="preserve">re-style financing to prevent avoidable private risk premiums from loading onto PSH. This dual approach guarantees deliverability while ensuring consumers do not pay more than necessary for the same system capability.</w:t>
      </w:r>
      <w:r/>
      <w:r>
        <w:rPr>
          <w:sz w:val="24"/>
        </w:rPr>
      </w:r>
      <w:r/>
      <w:r>
        <w:rPr>
          <w:rFonts w:ascii="Arial" w:hAnsi="Arial" w:eastAsia="Arial" w:cs="Arial"/>
          <w:b/>
          <w:color w:val="1d1d1f"/>
          <w:spacing w:val="-5"/>
          <w:sz w:val="27"/>
          <w:highlight w:val="none"/>
        </w:rPr>
      </w:r>
      <w:r>
        <w:rPr>
          <w:rFonts w:ascii="Arial" w:hAnsi="Arial" w:eastAsia="Arial" w:cs="Arial"/>
          <w:b/>
          <w:color w:val="1d1d1f"/>
          <w:spacing w:val="-5"/>
          <w:sz w:val="27"/>
          <w:highlight w:val="none"/>
        </w:rPr>
      </w:r>
      <w:r>
        <w:rPr>
          <w:rFonts w:ascii="Arial" w:hAnsi="Arial" w:eastAsia="Arial" w:cs="Arial"/>
          <w:b/>
          <w:color w:val="1d1d1f"/>
          <w:spacing w:val="-5"/>
          <w:sz w:val="27"/>
          <w:highlight w:val="none"/>
        </w:rPr>
      </w:r>
      <w:r>
        <w:rPr>
          <w:rFonts w:ascii="Arial" w:hAnsi="Arial" w:eastAsia="Arial" w:cs="Arial"/>
          <w:sz w:val="24"/>
        </w:rPr>
      </w:r>
    </w:p>
    <w:p w14:paraId="6D342349">
      <w:pPr>
        <w:pStyle w:val="839"/>
        <w:pBdr>
          <w:top w:val="single" w:color="e3e3e3" w:sz="0" w:space="0"/>
          <w:left w:val="single" w:color="e3e3e3" w:sz="0" w:space="0"/>
          <w:bottom w:val="single" w:color="e3e3e3" w:sz="0" w:space="0"/>
          <w:right w:val="single" w:color="e3e3e3" w:sz="0" w:space="0"/>
        </w:pBdr>
        <w:shd w:val="clear" w:color="ffffff" w:fill="ffffff"/>
        <w:spacing w:after="239" w:before="239" w:line="418" w:lineRule="atLeast"/>
        <w:ind w:right="0" w:firstLine="0" w:left="0"/>
        <w:rPr>
          <w:rFonts w:ascii="Arial" w:hAnsi="Arial" w:eastAsia="Arial" w:cs="Arial"/>
          <w:b/>
          <w:bCs/>
          <w:color w:val="1d1d1f"/>
          <w:spacing w:val="-5"/>
          <w:sz w:val="27"/>
          <w:szCs w:val="27"/>
          <w:highlight w:val="none"/>
        </w:rPr>
      </w:pPr>
      <w:r>
        <w:rPr>
          <w:rFonts w:ascii="Arial" w:hAnsi="Arial" w:eastAsia="Arial" w:cs="Arial"/>
          <w:b/>
          <w:color w:val="1d1d1f"/>
          <w:spacing w:val="-5"/>
          <w:sz w:val="27"/>
        </w:rPr>
        <w:t xml:space="preserve">References and Data Sources</w:t>
      </w:r>
      <w:r/>
    </w:p>
    <w:p w14:paraId="275AA464">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Regulatory and Policy Documents</w:t>
      </w:r>
      <w:r/>
    </w:p>
    <w:p w14:paraId="5B56B922">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Ofgem (2026).</w:t>
      </w:r>
      <w:r>
        <w:rPr>
          <w:rFonts w:ascii="Arial" w:hAnsi="Arial" w:eastAsia="Arial" w:cs="Arial"/>
          <w:color w:val="1d1d1f"/>
          <w:sz w:val="24"/>
        </w:rPr>
        <w:t xml:space="preserve"> </w:t>
      </w:r>
      <w:r>
        <w:rPr>
          <w:rFonts w:ascii="Arial" w:hAnsi="Arial" w:eastAsia="Arial" w:cs="Arial"/>
          <w:i/>
          <w:color w:val="1d1d1f"/>
          <w:sz w:val="24"/>
        </w:rPr>
        <w:t xml:space="preserve">Long Duration Electricity Storage (LDES) Cap and Floor Regime: Window 1 Minded-To Decision.</w:t>
      </w:r>
      <w:r>
        <w:rPr>
          <w:rFonts w:ascii="Arial" w:hAnsi="Arial" w:eastAsia="Arial" w:cs="Arial"/>
          <w:color w:val="1d1d1f"/>
          <w:sz w:val="24"/>
        </w:rPr>
        <w:t xml:space="preserve"> London: Office of Gas and Electricity Markets.</w:t>
      </w:r>
      <w:r/>
    </w:p>
    <w:p w14:paraId="09E9BBE4">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DESNZ &amp; HM Treasury (2025).</w:t>
      </w:r>
      <w:r>
        <w:rPr>
          <w:rFonts w:ascii="Arial" w:hAnsi="Arial" w:eastAsia="Arial" w:cs="Arial"/>
          <w:color w:val="1d1d1f"/>
          <w:sz w:val="24"/>
        </w:rPr>
        <w:t xml:space="preserve"> </w:t>
      </w:r>
      <w:r>
        <w:rPr>
          <w:rFonts w:ascii="Arial" w:hAnsi="Arial" w:eastAsia="Arial" w:cs="Arial"/>
          <w:i/>
          <w:color w:val="1d1d1f"/>
          <w:sz w:val="24"/>
        </w:rPr>
        <w:t xml:space="preserve">National Wealth Fund: Strategic Framework and Investment Mandates for Strategic Infrastructure.</w:t>
      </w:r>
      <w:r>
        <w:rPr>
          <w:rFonts w:ascii="Arial" w:hAnsi="Arial" w:eastAsia="Arial" w:cs="Arial"/>
          <w:color w:val="1d1d1f"/>
          <w:sz w:val="24"/>
        </w:rPr>
        <w:t xml:space="preserve"> London: Department for Energy Security and Net Zero.</w:t>
      </w:r>
      <w:r/>
    </w:p>
    <w:p w14:paraId="18A6DA63">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rFonts w:ascii="Arial" w:hAnsi="Arial" w:eastAsia="Arial" w:cs="Arial"/>
          <w:b/>
          <w:bCs/>
          <w:color w:val="1d1d1f"/>
          <w:sz w:val="24"/>
          <w:szCs w:val="24"/>
          <w:highlight w:val="none"/>
        </w:rPr>
      </w:pPr>
      <w:r>
        <w:rPr>
          <w:rFonts w:ascii="Arial" w:hAnsi="Arial" w:eastAsia="Arial" w:cs="Arial"/>
          <w:b/>
          <w:color w:val="1d1d1f"/>
          <w:sz w:val="24"/>
        </w:rPr>
        <w:t xml:space="preserve">Network and Charging Methodology (NESO)</w:t>
      </w:r>
      <w:r>
        <w:rPr>
          <w:rFonts w:ascii="Arial" w:hAnsi="Arial" w:eastAsia="Arial" w:cs="Arial"/>
          <w:b/>
          <w:bCs/>
          <w:color w:val="1d1d1f"/>
          <w:sz w:val="24"/>
          <w:szCs w:val="24"/>
          <w:highlight w:val="none"/>
        </w:rPr>
      </w:r>
    </w:p>
    <w:p w14:paraId="65DC31E9">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NESO (2026).</w:t>
      </w:r>
      <w:r>
        <w:rPr>
          <w:rFonts w:ascii="Arial" w:hAnsi="Arial" w:eastAsia="Arial" w:cs="Arial"/>
          <w:color w:val="1d1d1f"/>
          <w:sz w:val="24"/>
        </w:rPr>
        <w:t xml:space="preserve"> </w:t>
      </w:r>
      <w:r>
        <w:rPr>
          <w:rFonts w:ascii="Arial" w:hAnsi="Arial" w:eastAsia="Arial" w:cs="Arial"/>
          <w:i/>
          <w:color w:val="1d1d1f"/>
          <w:sz w:val="24"/>
        </w:rPr>
        <w:t xml:space="preserve">Statement of the Transmission Network Use of System (TNUoS) Charging Methodology and Final Tariffs 2026/27.</w:t>
      </w:r>
      <w:r>
        <w:rPr>
          <w:rFonts w:ascii="Arial" w:hAnsi="Arial" w:eastAsia="Arial" w:cs="Arial"/>
          <w:color w:val="1d1d1f"/>
          <w:sz w:val="24"/>
        </w:rPr>
        <w:t xml:space="preserve"> National Energy System Operator. [Specifically: Table 2, Zone 1 North Scotland generation wider tariff components, and generic Annual Load Factors (ALFs) for Pumped Storage (0.109859) and Battery Storage (0.080542)].</w:t>
      </w:r>
      <w:r/>
    </w:p>
    <w:p w14:paraId="204F22D4">
      <w:p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firstLine="0" w:left="709"/>
        <w:rPr>
          <w:rFonts w:ascii="Arial" w:hAnsi="Arial" w:eastAsia="Arial" w:cs="Arial"/>
          <w:sz w:val="24"/>
          <w:szCs w:val="24"/>
        </w:rPr>
      </w:pPr>
      <w:r>
        <w:rPr>
          <w:rFonts w:ascii="Arial" w:hAnsi="Arial" w:eastAsia="Arial" w:cs="Arial"/>
          <w:color w:val="1d1d1f"/>
          <w:sz w:val="24"/>
          <w:highlight w:val="none"/>
        </w:rPr>
      </w:r>
      <w:r>
        <w:rPr>
          <w:rFonts w:ascii="Arial" w:hAnsi="Arial" w:eastAsia="Arial" w:cs="Arial"/>
          <w:color w:val="1d1d1f"/>
          <w:sz w:val="24"/>
          <w:highlight w:val="none"/>
        </w:rPr>
      </w:r>
      <w:r>
        <w:rPr>
          <w:rFonts w:ascii="Arial" w:hAnsi="Arial" w:eastAsia="Arial" w:cs="Arial"/>
          <w:sz w:val="24"/>
          <w:szCs w:val="24"/>
        </w:rPr>
      </w:r>
    </w:p>
    <w:p w14:paraId="13851DDD">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NESO (202X).</w:t>
      </w:r>
      <w:r>
        <w:rPr>
          <w:rFonts w:ascii="Arial" w:hAnsi="Arial" w:eastAsia="Arial" w:cs="Arial"/>
          <w:color w:val="1d1d1f"/>
          <w:sz w:val="24"/>
        </w:rPr>
        <w:t xml:space="preserve"> </w:t>
      </w:r>
      <w:r>
        <w:rPr>
          <w:rFonts w:ascii="Arial" w:hAnsi="Arial" w:eastAsia="Arial" w:cs="Arial"/>
          <w:i/>
          <w:color w:val="1d1d1f"/>
          <w:sz w:val="24"/>
        </w:rPr>
        <w:t xml:space="preserve">CMP393: Modification to the TNUoS Charging Methodology regarding the classification of storage and non-intermittent generation assets.</w:t>
      </w:r>
      <w:r>
        <w:rPr>
          <w:rFonts w:ascii="Arial" w:hAnsi="Arial" w:eastAsia="Arial" w:cs="Arial"/>
          <w:color w:val="1d1d1f"/>
          <w:sz w:val="24"/>
        </w:rPr>
        <w:t xml:space="preserve"> [Details the formula: Peak + (ALF × Year Round Shared) + (ALF × Year Round Not Shared) + generation adjustment].</w:t>
      </w:r>
      <w:r/>
    </w:p>
    <w:p w14:paraId="39922B9F">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NESO (2025/2026).</w:t>
      </w:r>
      <w:r>
        <w:rPr>
          <w:rFonts w:ascii="Arial" w:hAnsi="Arial" w:eastAsia="Arial" w:cs="Arial"/>
          <w:color w:val="1d1d1f"/>
          <w:sz w:val="24"/>
        </w:rPr>
        <w:t xml:space="preserve"> </w:t>
      </w:r>
      <w:r>
        <w:rPr>
          <w:rFonts w:ascii="Arial" w:hAnsi="Arial" w:eastAsia="Arial" w:cs="Arial"/>
          <w:i/>
          <w:color w:val="1d1d1f"/>
          <w:sz w:val="24"/>
        </w:rPr>
        <w:t xml:space="preserve">Charging Modernisation Programme: Consultation Documents and Strategic Direction.</w:t>
      </w:r>
      <w:r>
        <w:rPr>
          <w:rFonts w:ascii="Arial" w:hAnsi="Arial" w:eastAsia="Arial" w:cs="Arial"/>
          <w:color w:val="1d1d1f"/>
          <w:sz w:val="24"/>
        </w:rPr>
        <w:t xml:space="preserve"> National Energy System Operator.</w:t>
      </w:r>
      <w:r/>
    </w:p>
    <w:p w14:paraId="6FB5038B">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pPr>
      <w:r>
        <w:rPr>
          <w:rFonts w:ascii="Arial" w:hAnsi="Arial" w:eastAsia="Arial" w:cs="Arial"/>
          <w:b/>
          <w:color w:val="1d1d1f"/>
          <w:sz w:val="24"/>
        </w:rPr>
        <w:t xml:space="preserve">Market, Constraint, and Dispatch Data</w:t>
      </w:r>
      <w:r/>
    </w:p>
    <w:p w14:paraId="40EC782D">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ELEXON (2023–2025).</w:t>
      </w:r>
      <w:r>
        <w:rPr>
          <w:rFonts w:ascii="Arial" w:hAnsi="Arial" w:eastAsia="Arial" w:cs="Arial"/>
          <w:color w:val="1d1d1f"/>
          <w:sz w:val="24"/>
        </w:rPr>
        <w:t xml:space="preserve"> </w:t>
      </w:r>
      <w:r>
        <w:rPr>
          <w:rFonts w:ascii="Arial" w:hAnsi="Arial" w:eastAsia="Arial" w:cs="Arial"/>
          <w:i/>
          <w:color w:val="1d1d1f"/>
          <w:sz w:val="24"/>
        </w:rPr>
        <w:t xml:space="preserve">Balancing Mechanism Reporting System (BMRS): Bid-Offer Acceptance Levels and Factors (BOALF) and Constraint Data.</w:t>
      </w:r>
      <w:r>
        <w:rPr>
          <w:rFonts w:ascii="Arial" w:hAnsi="Arial" w:eastAsia="Arial" w:cs="Arial"/>
          <w:color w:val="1d1d1f"/>
          <w:sz w:val="24"/>
        </w:rPr>
        <w:t xml:space="preserve"> [Used to derive historical constraint volumes on the SSEN-S boundary and the physical constraint exposure premium applied in the Phase 1 modelling pipeline].</w:t>
      </w:r>
      <w:r/>
    </w:p>
    <w:p w14:paraId="3CBB1B65">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rFonts w:ascii="Arial" w:hAnsi="Arial" w:eastAsia="Arial" w:cs="Arial"/>
          <w:sz w:val="24"/>
          <w:szCs w:val="24"/>
        </w:rPr>
      </w:pPr>
      <w:r>
        <w:rPr>
          <w:rFonts w:ascii="Arial" w:hAnsi="Arial" w:eastAsia="Arial" w:cs="Arial"/>
          <w:b/>
          <w:color w:val="1d1d1f"/>
          <w:sz w:val="24"/>
          <w:highlight w:val="none"/>
        </w:rPr>
      </w:r>
      <w:r>
        <w:rPr>
          <w:rFonts w:ascii="Arial" w:hAnsi="Arial" w:eastAsia="Arial" w:cs="Arial"/>
          <w:b/>
          <w:color w:val="1d1d1f"/>
          <w:sz w:val="24"/>
          <w:highlight w:val="none"/>
        </w:rPr>
      </w:r>
      <w:r>
        <w:rPr>
          <w:rFonts w:ascii="Arial" w:hAnsi="Arial" w:eastAsia="Arial" w:cs="Arial"/>
          <w:sz w:val="24"/>
          <w:szCs w:val="24"/>
        </w:rPr>
      </w:r>
    </w:p>
    <w:p w14:paraId="15A37E75">
      <w:pPr>
        <w:pBdr>
          <w:top w:val="single" w:color="e3e3e3" w:sz="0" w:space="0"/>
          <w:left w:val="single" w:color="e3e3e3" w:sz="0" w:space="0"/>
          <w:bottom w:val="single" w:color="e3e3e3" w:sz="0" w:space="0"/>
          <w:right w:val="single" w:color="e3e3e3" w:sz="0" w:space="0"/>
        </w:pBdr>
        <w:shd w:val="clear" w:color="ffffff" w:fill="ffffff"/>
        <w:spacing w:after="239" w:before="239" w:line="420" w:lineRule="atLeast"/>
        <w:ind w:right="0" w:firstLine="0" w:left="0"/>
        <w:rPr>
          <w:rFonts w:ascii="Arial" w:hAnsi="Arial" w:eastAsia="Arial" w:cs="Arial"/>
          <w:b/>
          <w:bCs/>
          <w:color w:val="1d1d1f"/>
          <w:sz w:val="24"/>
          <w:szCs w:val="24"/>
          <w:highlight w:val="none"/>
        </w:rPr>
      </w:pPr>
      <w:r>
        <w:rPr>
          <w:rFonts w:ascii="Arial" w:hAnsi="Arial" w:eastAsia="Arial" w:cs="Arial"/>
          <w:b/>
          <w:color w:val="1d1d1f"/>
          <w:sz w:val="24"/>
        </w:rPr>
        <w:t xml:space="preserve">Author’s Modelling and Analysis</w:t>
      </w:r>
      <w:r>
        <w:rPr>
          <w:rFonts w:ascii="Arial" w:hAnsi="Arial" w:eastAsia="Arial" w:cs="Arial"/>
          <w:b/>
          <w:bCs/>
          <w:color w:val="1d1d1f"/>
          <w:sz w:val="24"/>
          <w:szCs w:val="24"/>
          <w:highlight w:val="none"/>
        </w:rPr>
      </w:r>
    </w:p>
    <w:p w14:paraId="3391D4CD">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Moran, A. (2026).</w:t>
      </w:r>
      <w:r>
        <w:rPr>
          <w:rFonts w:ascii="Arial" w:hAnsi="Arial" w:eastAsia="Arial" w:cs="Arial"/>
          <w:color w:val="1d1d1f"/>
          <w:sz w:val="24"/>
        </w:rPr>
        <w:t xml:space="preserve"> </w:t>
      </w:r>
      <w:r>
        <w:rPr>
          <w:rFonts w:ascii="Arial" w:hAnsi="Arial" w:eastAsia="Arial" w:cs="Arial"/>
          <w:i/>
          <w:color w:val="1d1d1f"/>
          <w:sz w:val="24"/>
        </w:rPr>
        <w:t xml:space="preserve">Consultation Response to Ofgem’s Window 1 Minded-To Decision for the LDES Cap and Floor Regime.</w:t>
      </w:r>
      <w:r>
        <w:rPr>
          <w:rFonts w:ascii="Arial" w:hAnsi="Arial" w:eastAsia="Arial" w:cs="Arial"/>
          <w:color w:val="1d1d1f"/>
          <w:sz w:val="24"/>
        </w:rPr>
        <w:t xml:space="preserve"> [The primary submission to which this Addendum is attached].</w:t>
      </w:r>
      <w:r/>
    </w:p>
    <w:p w14:paraId="2E7A4210">
      <w:pPr>
        <w:pStyle w:val="900"/>
        <w:numPr>
          <w:ilvl w:val="0"/>
          <w:numId w:val="4"/>
        </w:numPr>
        <w:pBdr>
          <w:top w:val="single" w:color="e3e3e3" w:sz="0" w:space="0"/>
          <w:left w:val="single" w:color="e3e3e3" w:sz="0" w:space="0"/>
          <w:bottom w:val="single" w:color="e3e3e3" w:sz="0" w:space="0"/>
          <w:right w:val="single" w:color="e3e3e3" w:sz="0" w:space="0"/>
        </w:pBdr>
        <w:shd w:val="clear" w:color="ffffff" w:fill="ffffff"/>
        <w:spacing w:after="0" w:before="0" w:line="420" w:lineRule="atLeast"/>
        <w:ind w:right="0"/>
        <w:rPr/>
      </w:pPr>
      <w:r>
        <w:rPr>
          <w:rFonts w:ascii="Arial" w:hAnsi="Arial" w:eastAsia="Arial" w:cs="Arial"/>
          <w:b/>
          <w:color w:val="1d1d1f"/>
          <w:sz w:val="24"/>
        </w:rPr>
        <w:t xml:space="preserve">Moran, A. (2026).</w:t>
      </w:r>
      <w:r>
        <w:rPr>
          <w:rFonts w:ascii="Arial" w:hAnsi="Arial" w:eastAsia="Arial" w:cs="Arial"/>
          <w:color w:val="1d1d1f"/>
          <w:sz w:val="24"/>
        </w:rPr>
        <w:t xml:space="preserve"> </w:t>
      </w:r>
      <w:r>
        <w:rPr>
          <w:rFonts w:ascii="Arial" w:hAnsi="Arial" w:eastAsia="Arial" w:cs="Arial"/>
          <w:i/>
          <w:color w:val="1d1d1f"/>
          <w:sz w:val="24"/>
        </w:rPr>
        <w:t xml:space="preserve">LDES Window 1 Modelling: Project-Level Analysis, Phase 1 Pipeline, and Parquet Data Files.</w:t>
      </w:r>
      <w:r>
        <w:rPr>
          <w:rFonts w:ascii="Arial" w:hAnsi="Arial" w:eastAsia="Arial" w:cs="Arial"/>
          <w:color w:val="1d1d1f"/>
          <w:sz w:val="24"/>
        </w:rPr>
        <w:t xml:space="preserve"> GitHub Repository. Available at: https://github.com/AndyMoran/ldes-window1-modelling.</w:t>
      </w:r>
      <w:r/>
    </w:p>
    <w:p w14:paraId="106BFB1B">
      <w:pPr>
        <w:pBdr/>
        <w:spacing/>
        <w:ind/>
        <w:rPr/>
      </w:pPr>
      <w:r>
        <w:rPr>
          <w:sz w:val="24"/>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2067B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57C691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85CDDA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20A2A8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BB57EA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Addendum_PSH_Compounding_Physics_and_Fixed_Costs</dc:title>
  <dc:creator>Andy Moran;Heaviside Analytics</dc:creator>
  <cp:revision>2</cp:revision>
  <dcterms:modified xsi:type="dcterms:W3CDTF">2026-07-11T19:07:44Z</dcterms:modified>
</cp:coreProperties>
</file>