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styles.xml" ContentType="application/vnd.openxmlformats-officedocument.wordprocessingml.styles+xml"/>
  <Override PartName="/customXml/itemProps1.xml" ContentType="application/vnd.openxmlformats-officedocument.customXmlProperties+xml"/>
  <Override PartName="/word/header2.xml" ContentType="application/vnd.openxmlformats-officedocument.wordprocessingml.header+xml"/>
  <Override PartName="/word/theme/theme1.xml" ContentType="application/vnd.openxmlformats-officedocument.theme+xml"/>
  <Override PartName="/word/glossary/document.xml" ContentType="application/vnd.openxmlformats-officedocument.wordprocessingml.document.glossary+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customXml/itemProps4.xml" ContentType="application/vnd.openxmlformats-officedocument.customXmlProperties+xml"/>
  <Override PartName="/customXml/itemProps5.xml" ContentType="application/vnd.openxmlformats-officedocument.customXmlProperties+xml"/>
  <Override PartName="/word/glossary/settings.xml" ContentType="application/vnd.openxmlformats-officedocument.wordprocessingml.settings+xml"/>
  <Override PartName="/word/document.xml" ContentType="application/vnd.openxmlformats-officedocument.wordprocessingml.document.main+xml"/>
  <Override PartName="/word/glossary/webSettings.xml" ContentType="application/vnd.openxmlformats-officedocument.wordprocessingml.webSetting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750BB0" w14:textId="21D3336E">
      <w:pPr>
        <w:pStyle w:val="1003"/>
        <w:pBdr/>
        <w:spacing/>
        <w:ind/>
        <w:rPr>
          <w:rFonts w:asciiTheme="minorHAnsi" w:hAnsiTheme="minorHAnsi" w:eastAsiaTheme="minorEastAsia" w:cstheme="minorBidi"/>
          <w:sz w:val="24"/>
          <w:szCs w:val="24"/>
        </w:rPr>
      </w:pPr>
      <w:r>
        <w:rPr>
          <w:rFonts w:asciiTheme="minorHAnsi" w:hAnsiTheme="minorHAnsi" w:eastAsiaTheme="minorEastAsia" w:cstheme="minorBidi"/>
          <w:sz w:val="24"/>
          <w:szCs w:val="24"/>
        </w:rPr>
        <w:t xml:space="preserve">Curate Consultation Response Template</w:t>
      </w:r>
      <w:r>
        <w:rPr>
          <w:rFonts w:asciiTheme="minorHAnsi" w:hAnsiTheme="minorHAnsi" w:eastAsiaTheme="minorEastAsia" w:cstheme="minorBidi"/>
          <w:sz w:val="24"/>
          <w:szCs w:val="24"/>
        </w:rPr>
      </w:r>
    </w:p>
    <w:p w14:paraId="3A43E662" w14:textId="5995CF4D">
      <w:pPr>
        <w:pBdr/>
        <w:spacing/>
        <w:ind/>
        <w:rPr/>
      </w:pPr>
      <w:r>
        <w:t xml:space="preserve">We are welcoming views on the proposals set out in this consultation and wil</w:t>
      </w:r>
      <w:r>
        <w:t xml:space="preserve">l consider stakeholder feedback carefully before making any final decisions. We would therefore be grateful for responses that consider the consultation objectives, the questions posed, and any supporting information provided in the accompanying documents.</w:t>
      </w:r>
      <w:r/>
    </w:p>
    <w:p w14:paraId="43A8FD4D" w14:textId="0A14A7F2">
      <w:pPr>
        <w:pBdr/>
        <w:spacing/>
        <w:ind/>
        <w:rPr/>
      </w:pPr>
      <w:r>
        <w:t xml:space="preserve">Please send this completed form to </w:t>
      </w:r>
      <w:hyperlink r:id="rId21" w:tooltip="mailto:connections@ofgem.gov.uk" w:history="1">
        <w:r>
          <w:rPr>
            <w:rStyle w:val="1038"/>
            <w:szCs w:val="24"/>
          </w:rPr>
          <w:t xml:space="preserve">connections@ofgem.gov.uk</w:t>
        </w:r>
      </w:hyperlink>
      <w:r>
        <w:rPr>
          <w:u w:val="single"/>
        </w:rPr>
        <w:t xml:space="preserve"> </w:t>
      </w:r>
      <w:r>
        <w:t xml:space="preserve">before the 16</w:t>
      </w:r>
      <w:r>
        <w:rPr>
          <w:vertAlign w:val="superscript"/>
        </w:rPr>
        <w:t xml:space="preserve">th</w:t>
      </w:r>
      <w:r>
        <w:t xml:space="preserve"> September 2026.</w:t>
      </w:r>
      <w:r/>
    </w:p>
    <w:p w14:paraId="62989284" w14:textId="4F44FAAA">
      <w:pPr>
        <w:pBdr/>
        <w:spacing w:after="160" w:line="259" w:lineRule="auto"/>
        <w:ind/>
        <w:rPr>
          <w:rFonts w:asciiTheme="minorHAnsi" w:hAnsiTheme="minorHAnsi" w:eastAsiaTheme="minorEastAsia" w:cstheme="minorBidi"/>
          <w:sz w:val="32"/>
          <w:szCs w:val="32"/>
        </w:rPr>
      </w:pPr>
      <w:r>
        <w:rPr>
          <w:rFonts w:asciiTheme="minorHAnsi" w:hAnsiTheme="minorHAnsi" w:eastAsiaTheme="minorEastAsia" w:cstheme="minorBidi"/>
          <w:sz w:val="28"/>
          <w:szCs w:val="28"/>
        </w:rPr>
        <w:t xml:space="preserve">Respondent details</w:t>
      </w:r>
      <w:r>
        <w:rPr>
          <w:rFonts w:asciiTheme="minorHAnsi" w:hAnsiTheme="minorHAnsi" w:eastAsiaTheme="minorEastAsia" w:cstheme="minorBidi"/>
          <w:sz w:val="32"/>
          <w:szCs w:val="32"/>
        </w:rPr>
      </w:r>
      <w:r>
        <w:rPr>
          <w:rFonts w:asciiTheme="minorHAnsi" w:hAnsiTheme="minorHAnsi" w:eastAsiaTheme="minorEastAsia" w:cstheme="minorBidi"/>
          <w:sz w:val="32"/>
          <w:szCs w:val="32"/>
        </w:rPr>
      </w:r>
    </w:p>
    <w:p w14:paraId="59AD447B" w14:textId="02575165">
      <w:pPr>
        <w:pBdr/>
        <w:spacing w:after="0" w:line="240" w:lineRule="auto"/>
        <w:ind/>
        <w:rPr>
          <w:rFonts w:asciiTheme="minorHAnsi" w:hAnsiTheme="minorHAnsi" w:eastAsiaTheme="minorEastAsia" w:cstheme="minorBidi"/>
          <w:color w:val="000000"/>
          <w:highlight w:val="none"/>
          <w:lang w:eastAsia="en-GB"/>
          <w14:ligatures w14:val="none"/>
        </w:rPr>
      </w:pPr>
      <w:r>
        <w:rPr>
          <w:rFonts w:asciiTheme="minorHAnsi" w:hAnsiTheme="minorHAnsi" w:eastAsiaTheme="minorEastAsia" w:cstheme="minorBidi"/>
          <w:color w:val="000000"/>
          <w:lang w:eastAsia="en-GB"/>
          <w14:ligatures w14:val="none"/>
        </w:rPr>
        <w:t xml:space="preserve">Contact name:</w:t>
      </w:r>
      <w:r>
        <w:rPr>
          <w:rFonts w:asciiTheme="minorHAnsi" w:hAnsiTheme="minorHAnsi" w:eastAsiaTheme="minorEastAsia" w:cstheme="minorBidi"/>
          <w:color w:val="000000"/>
          <w:highlight w:val="none"/>
          <w:lang w:eastAsia="en-GB"/>
          <w14:ligatures w14:val="none"/>
        </w:rPr>
      </w:r>
    </w:p>
    <w:p w14:paraId="77DC3279">
      <w:pPr>
        <w:pBdr/>
        <w:spacing w:after="0" w:line="240" w:lineRule="auto"/>
        <w:ind/>
        <w:rPr>
          <w:rFonts w:asciiTheme="minorHAnsi" w:hAnsiTheme="minorHAnsi" w:eastAsiaTheme="minorEastAsia" w:cstheme="minorBidi"/>
          <w:color w:val="000000"/>
          <w:lang w:eastAsia="en-GB"/>
          <w14:ligatures w14:val="none"/>
        </w:rPr>
      </w:pPr>
      <w:r>
        <w:rPr>
          <w:rFonts w:asciiTheme="minorHAnsi" w:hAnsiTheme="minorHAnsi" w:eastAsiaTheme="minorEastAsia" w:cstheme="minorBidi"/>
          <w:color w:val="000000"/>
          <w:highlight w:val="none"/>
          <w:lang w:eastAsia="en-GB"/>
          <w14:ligatures w14:val="none"/>
        </w:rPr>
      </w:r>
      <w:r>
        <w:rPr>
          <w:rFonts w:asciiTheme="minorHAnsi" w:hAnsiTheme="minorHAnsi" w:eastAsiaTheme="minorEastAsia" w:cstheme="minorBidi"/>
          <w:color w:val="000000"/>
          <w:lang w:eastAsia="en-GB"/>
          <w14:ligatures w14:val="none"/>
        </w:rPr>
      </w:r>
    </w:p>
    <w:p w14:paraId="67290D74" w14:textId="77777777">
      <w:pPr>
        <w:pStyle w:val="1093"/>
        <w:pBdr/>
        <w:spacing/>
        <w:ind/>
        <w:rPr>
          <w:rFonts w:asciiTheme="minorHAnsi" w:hAnsiTheme="minorHAnsi" w:eastAsiaTheme="minorEastAsia" w:cstheme="minorBidi"/>
          <w:sz w:val="24"/>
          <w:szCs w:val="24"/>
        </w:rPr>
      </w:pPr>
      <w:r>
        <w:rPr>
          <w:rFonts w:asciiTheme="minorHAnsi" w:hAnsiTheme="minorHAnsi" w:eastAsiaTheme="minorEastAsia" w:cstheme="minorBidi"/>
          <w:sz w:val="24"/>
          <w:szCs w:val="24"/>
        </w:rPr>
        <w:t xml:space="preserve"> Andrew Graham Moran</w:t>
      </w:r>
      <w:r>
        <w:rPr>
          <w:rFonts w:asciiTheme="minorHAnsi" w:hAnsiTheme="minorHAnsi" w:eastAsiaTheme="minorEastAsia" w:cstheme="minorBidi"/>
          <w:sz w:val="24"/>
          <w:szCs w:val="24"/>
        </w:rPr>
      </w:r>
    </w:p>
    <w:p w14:paraId="2CF61520" w14:textId="08DA2F4E">
      <w:pPr>
        <w:pBdr/>
        <w:spacing w:after="0" w:line="240" w:lineRule="auto"/>
        <w:ind/>
        <w:rPr>
          <w:rFonts w:asciiTheme="minorHAnsi" w:hAnsiTheme="minorHAnsi" w:eastAsiaTheme="minorEastAsia" w:cstheme="minorBidi"/>
          <w:color w:val="000000"/>
          <w:highlight w:val="none"/>
          <w:lang w:eastAsia="en-GB"/>
          <w14:ligatures w14:val="none"/>
        </w:rPr>
      </w:pPr>
      <w:r>
        <w:rPr>
          <w:rFonts w:asciiTheme="minorHAnsi" w:hAnsiTheme="minorHAnsi" w:eastAsiaTheme="minorEastAsia" w:cstheme="minorBidi"/>
          <w:color w:val="000000"/>
          <w:lang w:eastAsia="en-GB"/>
          <w14:ligatures w14:val="none"/>
        </w:rPr>
        <w:t xml:space="preserve">Role title:</w:t>
      </w:r>
      <w:r>
        <w:rPr>
          <w:rFonts w:asciiTheme="minorHAnsi" w:hAnsiTheme="minorHAnsi" w:eastAsiaTheme="minorEastAsia" w:cstheme="minorBidi"/>
          <w:color w:val="000000"/>
          <w:highlight w:val="none"/>
          <w:lang w:eastAsia="en-GB"/>
          <w14:ligatures w14:val="none"/>
        </w:rPr>
      </w:r>
    </w:p>
    <w:p w14:paraId="11050174">
      <w:pPr>
        <w:pBdr/>
        <w:spacing w:after="0" w:line="240" w:lineRule="auto"/>
        <w:ind/>
        <w:rPr>
          <w:rFonts w:asciiTheme="minorHAnsi" w:hAnsiTheme="minorHAnsi" w:eastAsiaTheme="minorEastAsia" w:cstheme="minorBidi"/>
          <w:color w:val="000000"/>
          <w:lang w:eastAsia="en-GB"/>
          <w14:ligatures w14:val="none"/>
        </w:rPr>
      </w:pPr>
      <w:r>
        <w:rPr>
          <w:rFonts w:asciiTheme="minorHAnsi" w:hAnsiTheme="minorHAnsi" w:eastAsiaTheme="minorEastAsia" w:cstheme="minorBidi"/>
          <w:color w:val="000000"/>
          <w:highlight w:val="none"/>
          <w:lang w:eastAsia="en-GB"/>
          <w14:ligatures w14:val="none"/>
        </w:rPr>
      </w:r>
      <w:r>
        <w:rPr>
          <w:rFonts w:asciiTheme="minorHAnsi" w:hAnsiTheme="minorHAnsi" w:eastAsiaTheme="minorEastAsia" w:cstheme="minorBidi"/>
          <w:color w:val="000000"/>
          <w:lang w:eastAsia="en-GB"/>
          <w14:ligatures w14:val="none"/>
        </w:rPr>
      </w:r>
    </w:p>
    <w:p w14:paraId="77953B5F" w14:textId="77777777">
      <w:pPr>
        <w:pStyle w:val="1093"/>
        <w:pBdr/>
        <w:spacing/>
        <w:ind/>
        <w:rPr>
          <w:rFonts w:asciiTheme="minorHAnsi" w:hAnsiTheme="minorHAnsi" w:eastAsiaTheme="minorEastAsia" w:cstheme="minorBidi"/>
          <w:sz w:val="24"/>
          <w:szCs w:val="24"/>
        </w:rPr>
      </w:pPr>
      <w:r>
        <w:rPr>
          <w:rFonts w:asciiTheme="minorHAnsi" w:hAnsiTheme="minorHAnsi" w:eastAsiaTheme="minorEastAsia" w:cstheme="minorBidi"/>
          <w:sz w:val="24"/>
          <w:szCs w:val="24"/>
        </w:rPr>
        <w:t xml:space="preserve"> Independent Researcher (Heaviside Analytics)</w:t>
      </w:r>
      <w:r>
        <w:rPr>
          <w:rFonts w:asciiTheme="minorHAnsi" w:hAnsiTheme="minorHAnsi" w:eastAsiaTheme="minorEastAsia" w:cstheme="minorBidi"/>
          <w:sz w:val="24"/>
          <w:szCs w:val="24"/>
        </w:rPr>
      </w:r>
    </w:p>
    <w:p w14:paraId="3313A80B" w14:textId="3555711E">
      <w:pPr>
        <w:pBdr/>
        <w:spacing w:after="0" w:line="240" w:lineRule="auto"/>
        <w:ind/>
        <w:rPr>
          <w:rFonts w:asciiTheme="minorHAnsi" w:hAnsiTheme="minorHAnsi" w:eastAsiaTheme="minorEastAsia" w:cstheme="minorBidi"/>
          <w:color w:val="000000"/>
          <w:lang w:eastAsia="en-GB"/>
          <w14:ligatures w14:val="none"/>
        </w:rPr>
      </w:pPr>
      <w:r>
        <w:rPr>
          <w:rFonts w:asciiTheme="minorHAnsi" w:hAnsiTheme="minorHAnsi" w:eastAsiaTheme="minorEastAsia" w:cstheme="minorBidi"/>
          <w:color w:val="000000"/>
          <w:lang w:eastAsia="en-GB"/>
          <w14:ligatures w14:val="none"/>
        </w:rPr>
        <w:t xml:space="preserve">Company name:</w:t>
      </w:r>
      <w:r>
        <w:rPr>
          <w:rFonts w:asciiTheme="minorHAnsi" w:hAnsiTheme="minorHAnsi" w:eastAsiaTheme="minorEastAsia" w:cstheme="minorBidi"/>
          <w:color w:val="000000"/>
          <w:lang w:eastAsia="en-GB"/>
          <w14:ligatures w14:val="none"/>
        </w:rPr>
      </w:r>
    </w:p>
    <w:p w14:paraId="142283A4" w14:textId="77777777">
      <w:pPr>
        <w:pStyle w:val="1093"/>
        <w:pBdr/>
        <w:spacing/>
        <w:ind/>
        <w:rPr>
          <w:rFonts w:asciiTheme="minorHAnsi" w:hAnsiTheme="minorHAnsi" w:eastAsiaTheme="minorEastAsia" w:cstheme="minorBidi"/>
          <w:sz w:val="24"/>
          <w:szCs w:val="24"/>
        </w:rPr>
      </w:pPr>
      <w:r>
        <w:rPr>
          <w:rFonts w:asciiTheme="minorHAnsi" w:hAnsiTheme="minorHAnsi" w:eastAsiaTheme="minorEastAsia" w:cstheme="minorBidi"/>
          <w:sz w:val="24"/>
          <w:szCs w:val="24"/>
        </w:rPr>
        <w:t xml:space="preserve"> </w:t>
      </w:r>
      <w:r>
        <w:rPr>
          <w:rFonts w:asciiTheme="minorHAnsi" w:hAnsiTheme="minorHAnsi" w:eastAsiaTheme="minorEastAsia" w:cstheme="minorBidi"/>
          <w:sz w:val="24"/>
          <w:szCs w:val="24"/>
        </w:rPr>
      </w:r>
    </w:p>
    <w:p w14:paraId="33E3BAA5" w14:textId="13925D1C">
      <w:pPr>
        <w:pBdr/>
        <w:spacing w:after="0" w:line="240" w:lineRule="auto"/>
        <w:ind/>
        <w:rPr>
          <w:rFonts w:asciiTheme="minorHAnsi" w:hAnsiTheme="minorHAnsi" w:eastAsiaTheme="minorEastAsia" w:cstheme="minorBidi"/>
          <w:color w:val="000000"/>
          <w:lang w:eastAsia="en-GB"/>
          <w14:ligatures w14:val="none"/>
        </w:rPr>
      </w:pPr>
      <w:r>
        <w:rPr>
          <w:rFonts w:asciiTheme="minorHAnsi" w:hAnsiTheme="minorHAnsi" w:eastAsiaTheme="minorEastAsia" w:cstheme="minorBidi"/>
          <w:color w:val="000000"/>
          <w:lang w:eastAsia="en-GB"/>
          <w14:ligatures w14:val="none"/>
        </w:rPr>
        <w:t xml:space="preserve">Company type:</w:t>
      </w:r>
      <w:r>
        <w:rPr>
          <w:rFonts w:asciiTheme="minorHAnsi" w:hAnsiTheme="minorHAnsi" w:eastAsiaTheme="minorEastAsia" w:cstheme="minorBidi"/>
          <w:color w:val="000000"/>
          <w:lang w:eastAsia="en-GB"/>
          <w14:ligatures w14:val="none"/>
        </w:rPr>
      </w:r>
    </w:p>
    <w:p w14:paraId="502844C9" w14:textId="2AE45833">
      <w:pPr>
        <w:pStyle w:val="1093"/>
        <w:pBdr/>
        <w:spacing/>
        <w:ind/>
        <w:rPr>
          <w:rFonts w:asciiTheme="minorHAnsi" w:hAnsiTheme="minorHAnsi" w:eastAsiaTheme="minorEastAsia" w:cstheme="minorBidi"/>
          <w:sz w:val="24"/>
          <w:szCs w:val="24"/>
        </w:rPr>
      </w:pPr>
      <w:r>
        <w:rPr>
          <w:rFonts w:asciiTheme="minorHAnsi" w:hAnsiTheme="minorHAnsi" w:eastAsiaTheme="minorEastAsia" w:cstheme="minorBidi"/>
          <w:sz w:val="24"/>
          <w:szCs w:val="24"/>
        </w:rPr>
        <w:t xml:space="preserve"> </w:t>
      </w:r>
      <w:r>
        <w:rPr>
          <w:rFonts w:asciiTheme="minorHAnsi" w:hAnsiTheme="minorHAnsi" w:eastAsiaTheme="minorEastAsia" w:cstheme="minorBidi"/>
          <w:sz w:val="24"/>
          <w:szCs w:val="24"/>
        </w:rPr>
      </w:r>
    </w:p>
    <w:p w14:paraId="0B20F5A9" w14:textId="6BEF2340">
      <w:pPr>
        <w:pBdr/>
        <w:spacing w:after="0" w:line="240" w:lineRule="auto"/>
        <w:ind/>
        <w:rPr>
          <w:rFonts w:asciiTheme="minorHAnsi" w:hAnsiTheme="minorHAnsi" w:eastAsiaTheme="minorEastAsia" w:cstheme="minorBidi"/>
          <w:color w:val="000000"/>
          <w:highlight w:val="none"/>
          <w:lang w:eastAsia="en-GB"/>
          <w14:ligatures w14:val="none"/>
        </w:rPr>
      </w:pPr>
      <w:r>
        <w:rPr>
          <w:rFonts w:asciiTheme="minorHAnsi" w:hAnsiTheme="minorHAnsi" w:eastAsiaTheme="minorEastAsia" w:cstheme="minorBidi"/>
          <w:color w:val="000000"/>
          <w:lang w:eastAsia="en-GB"/>
          <w14:ligatures w14:val="none"/>
        </w:rPr>
        <w:t xml:space="preserve">Telephone number:</w:t>
      </w:r>
      <w:r>
        <w:rPr>
          <w:rFonts w:asciiTheme="minorHAnsi" w:hAnsiTheme="minorHAnsi" w:eastAsiaTheme="minorEastAsia" w:cstheme="minorBidi"/>
          <w:color w:val="000000"/>
          <w:highlight w:val="none"/>
          <w:lang w:eastAsia="en-GB"/>
          <w14:ligatures w14:val="none"/>
        </w:rPr>
      </w:r>
    </w:p>
    <w:p w14:paraId="78BE833C">
      <w:pPr>
        <w:pBdr/>
        <w:spacing w:after="0" w:line="240" w:lineRule="auto"/>
        <w:ind/>
        <w:rPr>
          <w:rFonts w:asciiTheme="minorHAnsi" w:hAnsiTheme="minorHAnsi" w:eastAsiaTheme="minorEastAsia" w:cstheme="minorBidi"/>
          <w:color w:val="000000"/>
          <w:lang w:eastAsia="en-GB"/>
          <w14:ligatures w14:val="none"/>
        </w:rPr>
      </w:pPr>
      <w:r>
        <w:rPr>
          <w:rFonts w:asciiTheme="minorHAnsi" w:hAnsiTheme="minorHAnsi" w:eastAsiaTheme="minorEastAsia" w:cstheme="minorBidi"/>
          <w:color w:val="000000"/>
          <w:highlight w:val="none"/>
          <w:lang w:eastAsia="en-GB"/>
          <w14:ligatures w14:val="none"/>
        </w:rPr>
      </w:r>
      <w:r>
        <w:rPr>
          <w:rFonts w:asciiTheme="minorHAnsi" w:hAnsiTheme="minorHAnsi" w:eastAsiaTheme="minorEastAsia" w:cstheme="minorBidi"/>
          <w:color w:val="000000"/>
          <w:lang w:eastAsia="en-GB"/>
          <w14:ligatures w14:val="none"/>
        </w:rPr>
      </w:r>
    </w:p>
    <w:p w14:paraId="0A7D0806" w14:textId="77777777">
      <w:pPr>
        <w:pStyle w:val="1093"/>
        <w:pBdr/>
        <w:spacing/>
        <w:ind/>
        <w:rPr>
          <w:rFonts w:asciiTheme="minorHAnsi" w:hAnsiTheme="minorHAnsi" w:eastAsiaTheme="minorEastAsia" w:cstheme="minorBidi"/>
          <w:sz w:val="24"/>
          <w:szCs w:val="24"/>
        </w:rPr>
      </w:pPr>
      <w:r>
        <w:rPr>
          <w:rFonts w:asciiTheme="minorHAnsi" w:hAnsiTheme="minorHAnsi" w:eastAsiaTheme="minorEastAsia" w:cstheme="minorBidi"/>
          <w:sz w:val="24"/>
          <w:szCs w:val="24"/>
        </w:rPr>
        <w:t xml:space="preserve"> [redacted]</w:t>
      </w:r>
      <w:r>
        <w:rPr>
          <w:rFonts w:asciiTheme="minorHAnsi" w:hAnsiTheme="minorHAnsi" w:eastAsiaTheme="minorEastAsia" w:cstheme="minorBidi"/>
          <w:sz w:val="24"/>
          <w:szCs w:val="24"/>
        </w:rPr>
      </w:r>
    </w:p>
    <w:p w14:paraId="79A9876C" w14:textId="46EEF67F">
      <w:pPr>
        <w:pBdr/>
        <w:spacing w:after="0" w:line="240" w:lineRule="auto"/>
        <w:ind/>
        <w:rPr>
          <w:rFonts w:asciiTheme="minorHAnsi" w:hAnsiTheme="minorHAnsi" w:eastAsiaTheme="minorEastAsia" w:cstheme="minorBidi"/>
          <w:color w:val="000000"/>
          <w:highlight w:val="none"/>
          <w:lang w:eastAsia="en-GB"/>
          <w14:ligatures w14:val="none"/>
        </w:rPr>
      </w:pPr>
      <w:r>
        <w:rPr>
          <w:rFonts w:asciiTheme="minorHAnsi" w:hAnsiTheme="minorHAnsi" w:eastAsiaTheme="minorEastAsia" w:cstheme="minorBidi"/>
          <w:color w:val="000000"/>
          <w:lang w:eastAsia="en-GB"/>
          <w14:ligatures w14:val="none"/>
        </w:rPr>
        <w:t xml:space="preserve">Email address:</w:t>
      </w:r>
      <w:r>
        <w:rPr>
          <w:rFonts w:asciiTheme="minorHAnsi" w:hAnsiTheme="minorHAnsi" w:eastAsiaTheme="minorEastAsia" w:cstheme="minorBidi"/>
          <w:color w:val="000000"/>
          <w:highlight w:val="none"/>
          <w:lang w:eastAsia="en-GB"/>
          <w14:ligatures w14:val="none"/>
        </w:rPr>
      </w:r>
    </w:p>
    <w:p w14:paraId="15E99EF8">
      <w:pPr>
        <w:pBdr/>
        <w:spacing w:after="0" w:line="240" w:lineRule="auto"/>
        <w:ind/>
        <w:rPr>
          <w:rFonts w:asciiTheme="minorHAnsi" w:hAnsiTheme="minorHAnsi" w:eastAsiaTheme="minorEastAsia" w:cstheme="minorBidi"/>
          <w:color w:val="000000"/>
          <w:lang w:eastAsia="en-GB"/>
          <w14:ligatures w14:val="none"/>
        </w:rPr>
      </w:pPr>
      <w:r>
        <w:rPr>
          <w:rFonts w:asciiTheme="minorHAnsi" w:hAnsiTheme="minorHAnsi" w:eastAsiaTheme="minorEastAsia" w:cstheme="minorBidi"/>
          <w:color w:val="000000"/>
          <w:highlight w:val="none"/>
          <w:lang w:eastAsia="en-GB"/>
          <w14:ligatures w14:val="none"/>
        </w:rPr>
      </w:r>
      <w:r>
        <w:rPr>
          <w:rFonts w:asciiTheme="minorHAnsi" w:hAnsiTheme="minorHAnsi" w:eastAsiaTheme="minorEastAsia" w:cstheme="minorBidi"/>
          <w:color w:val="000000"/>
          <w:lang w:eastAsia="en-GB"/>
          <w14:ligatures w14:val="none"/>
        </w:rPr>
      </w:r>
    </w:p>
    <w:p w14:paraId="77BD31BE" w14:textId="77777777">
      <w:pPr>
        <w:pStyle w:val="1093"/>
        <w:pBdr/>
        <w:spacing/>
        <w:ind/>
        <w:rPr>
          <w:rFonts w:asciiTheme="minorHAnsi" w:hAnsiTheme="minorHAnsi" w:eastAsiaTheme="minorEastAsia" w:cstheme="minorBidi"/>
          <w:sz w:val="24"/>
          <w:szCs w:val="24"/>
        </w:rPr>
      </w:pPr>
      <w:r>
        <w:rPr>
          <w:rFonts w:asciiTheme="minorHAnsi" w:hAnsiTheme="minorHAnsi" w:eastAsiaTheme="minorEastAsia" w:cstheme="minorBidi"/>
          <w:sz w:val="24"/>
          <w:szCs w:val="24"/>
        </w:rPr>
        <w:t xml:space="preserve"> andrewgmoran@gmail.com</w:t>
      </w:r>
      <w:r>
        <w:rPr>
          <w:rFonts w:asciiTheme="minorHAnsi" w:hAnsiTheme="minorHAnsi" w:eastAsiaTheme="minorEastAsia" w:cstheme="minorBidi"/>
          <w:sz w:val="24"/>
          <w:szCs w:val="24"/>
        </w:rPr>
      </w:r>
    </w:p>
    <w:p w14:paraId="302A3B70" w14:textId="08F5C651">
      <w:pPr>
        <w:pBdr/>
        <w:spacing w:after="0" w:line="240" w:lineRule="auto"/>
        <w:ind/>
        <w:rPr>
          <w:rFonts w:asciiTheme="minorHAnsi" w:hAnsiTheme="minorHAnsi" w:eastAsiaTheme="minorEastAsia" w:cstheme="minorBidi"/>
          <w:color w:val="000000"/>
          <w:highlight w:val="none"/>
          <w:lang w:eastAsia="en-GB"/>
          <w14:ligatures w14:val="none"/>
        </w:rPr>
      </w:pPr>
      <w:r>
        <w:rPr>
          <w:rFonts w:asciiTheme="minorHAnsi" w:hAnsiTheme="minorHAnsi" w:eastAsiaTheme="minorEastAsia" w:cstheme="minorBidi"/>
          <w:color w:val="000000"/>
          <w:lang w:eastAsia="en-GB"/>
          <w14:ligatures w14:val="none"/>
        </w:rPr>
        <w:t xml:space="preserve">Date of submission:</w:t>
      </w:r>
      <w:r>
        <w:rPr>
          <w:rFonts w:asciiTheme="minorHAnsi" w:hAnsiTheme="minorHAnsi" w:eastAsiaTheme="minorEastAsia" w:cstheme="minorBidi"/>
          <w:color w:val="000000"/>
          <w:highlight w:val="none"/>
          <w:lang w:eastAsia="en-GB"/>
          <w14:ligatures w14:val="none"/>
        </w:rPr>
      </w:r>
    </w:p>
    <w:p w14:paraId="762AA136">
      <w:pPr>
        <w:pBdr/>
        <w:spacing w:after="0" w:line="240" w:lineRule="auto"/>
        <w:ind/>
        <w:rPr>
          <w:rFonts w:asciiTheme="minorHAnsi" w:hAnsiTheme="minorHAnsi" w:eastAsiaTheme="minorEastAsia" w:cstheme="minorBidi"/>
          <w:color w:val="000000"/>
          <w:lang w:eastAsia="en-GB"/>
          <w14:ligatures w14:val="none"/>
        </w:rPr>
      </w:pPr>
      <w:r>
        <w:rPr>
          <w:rFonts w:asciiTheme="minorHAnsi" w:hAnsiTheme="minorHAnsi" w:eastAsiaTheme="minorEastAsia" w:cstheme="minorBidi"/>
          <w:color w:val="000000"/>
          <w:highlight w:val="none"/>
          <w:lang w:eastAsia="en-GB"/>
          <w14:ligatures w14:val="none"/>
        </w:rPr>
      </w:r>
      <w:r>
        <w:rPr>
          <w:rFonts w:asciiTheme="minorHAnsi" w:hAnsiTheme="minorHAnsi" w:eastAsiaTheme="minorEastAsia" w:cstheme="minorBidi"/>
          <w:color w:val="000000"/>
          <w:lang w:eastAsia="en-GB"/>
          <w14:ligatures w14:val="none"/>
        </w:rPr>
      </w:r>
    </w:p>
    <w:p w14:paraId="5F370370" w14:textId="77777777">
      <w:pPr>
        <w:pStyle w:val="1093"/>
        <w:pBdr/>
        <w:spacing/>
        <w:ind/>
        <w:rPr>
          <w:rFonts w:asciiTheme="minorHAnsi" w:hAnsiTheme="minorHAnsi" w:eastAsiaTheme="minorEastAsia" w:cstheme="minorBidi"/>
          <w:sz w:val="24"/>
          <w:szCs w:val="24"/>
        </w:rPr>
      </w:pPr>
      <w:r>
        <w:rPr>
          <w:rFonts w:asciiTheme="minorHAnsi" w:hAnsiTheme="minorHAnsi" w:eastAsiaTheme="minorEastAsia" w:cstheme="minorBidi"/>
          <w:sz w:val="24"/>
          <w:szCs w:val="24"/>
        </w:rPr>
        <w:t xml:space="preserve"> 02/09/2026</w:t>
      </w:r>
      <w:r>
        <w:rPr>
          <w:rFonts w:asciiTheme="minorHAnsi" w:hAnsiTheme="minorHAnsi" w:eastAsiaTheme="minorEastAsia" w:cstheme="minorBidi"/>
          <w:sz w:val="24"/>
          <w:szCs w:val="24"/>
        </w:rPr>
      </w:r>
    </w:p>
    <w:p w14:paraId="5C8BD207" w14:textId="291BA28F">
      <w:pPr>
        <w:pBdr/>
        <w:spacing w:after="0" w:line="240" w:lineRule="auto"/>
        <w:ind/>
        <w:rPr>
          <w:rFonts w:asciiTheme="minorHAnsi" w:hAnsiTheme="minorHAnsi" w:eastAsiaTheme="minorEastAsia" w:cstheme="minorBidi"/>
          <w:color w:val="000000"/>
          <w:lang w:eastAsia="en-GB"/>
          <w14:ligatures w14:val="none"/>
        </w:rPr>
      </w:pPr>
      <w:r>
        <w:rPr>
          <w:rFonts w:asciiTheme="minorHAnsi" w:hAnsiTheme="minorHAnsi" w:eastAsiaTheme="minorEastAsia" w:cstheme="minorBidi"/>
          <w:color w:val="000000"/>
          <w:lang w:eastAsia="en-GB"/>
          <w14:ligatures w14:val="none"/>
        </w:rPr>
        <w:t xml:space="preserve">Do you want your response treated as confidential? </w:t>
      </w:r>
      <w:r>
        <w:rPr>
          <w:rFonts w:asciiTheme="minorHAnsi" w:hAnsiTheme="minorHAnsi" w:eastAsiaTheme="minorEastAsia" w:cstheme="minorBidi"/>
          <w:color w:val="000000" w:themeColor="text1"/>
        </w:rPr>
        <w:t xml:space="preserve">Please choose the option that is relevant to you.</w:t>
      </w:r>
      <w:r>
        <w:rPr>
          <w:rFonts w:asciiTheme="minorHAnsi" w:hAnsiTheme="minorHAnsi" w:eastAsiaTheme="minorEastAsia" w:cstheme="minorBidi"/>
          <w:color w:val="000000"/>
          <w:lang w:eastAsia="en-GB"/>
          <w14:ligatures w14:val="none"/>
        </w:rPr>
      </w:r>
      <w:r>
        <w:rPr>
          <w:rFonts w:asciiTheme="minorHAnsi" w:hAnsiTheme="minorHAnsi" w:eastAsiaTheme="minorEastAsia" w:cstheme="minorBidi"/>
          <w:color w:val="000000"/>
          <w:lang w:eastAsia="en-GB"/>
          <w14:ligatures w14:val="none"/>
        </w:rPr>
      </w:r>
    </w:p>
    <w:p w14:paraId="5914241B" w14:textId="77777777">
      <w:pPr>
        <w:pBdr/>
        <w:spacing w:after="0" w:line="240" w:lineRule="auto"/>
        <w:ind/>
        <w:rPr>
          <w:rFonts w:asciiTheme="minorHAnsi" w:hAnsiTheme="minorHAnsi" w:eastAsiaTheme="minorEastAsia" w:cstheme="minorBidi"/>
          <w:color w:val="000000"/>
          <w:lang w:eastAsia="en-GB"/>
          <w14:ligatures w14:val="none"/>
        </w:rPr>
      </w:pPr>
      <w:r>
        <w:rPr>
          <w:rFonts w:asciiTheme="minorHAnsi" w:hAnsiTheme="minorHAnsi" w:eastAsiaTheme="minorEastAsia" w:cstheme="minorBidi"/>
          <w:color w:val="000000"/>
          <w:lang w:eastAsia="en-GB"/>
          <w14:ligatures w14:val="none"/>
        </w:rPr>
      </w:r>
      <w:r>
        <w:rPr>
          <w:rFonts w:asciiTheme="minorHAnsi" w:hAnsiTheme="minorHAnsi" w:eastAsiaTheme="minorEastAsia" w:cstheme="minorBidi"/>
          <w:color w:val="000000"/>
          <w:lang w:eastAsia="en-GB"/>
          <w14:ligatures w14:val="none"/>
        </w:rPr>
      </w:r>
    </w:p>
    <w:p w14:paraId="20124B4E" w14:textId="1666F4BD">
      <w:pPr>
        <w:pBdr/>
        <w:spacing w:after="0" w:line="240" w:lineRule="auto"/>
        <w:ind/>
        <w:rPr>
          <w:rFonts w:asciiTheme="minorHAnsi" w:hAnsiTheme="minorHAnsi" w:eastAsiaTheme="minorEastAsia" w:cstheme="minorBidi"/>
          <w:color w:val="000000"/>
          <w:lang w:eastAsia="en-GB"/>
          <w14:ligatures w14:val="none"/>
        </w:rPr>
      </w:pPr>
      <w:r>
        <w:rPr>
          <w:rFonts w:asciiTheme="minorHAnsi" w:hAnsiTheme="minorHAnsi" w:eastAsiaTheme="minorEastAsia" w:cstheme="minorBidi"/>
          <w:color w:val="000000"/>
          <w:lang w:eastAsia="en-GB"/>
          <w14:ligatures w14:val="none"/>
        </w:rPr>
        <w:t xml:space="preserve">No</w:t>
      </w:r>
      <w:r>
        <w:rPr>
          <w:rFonts w:asciiTheme="minorHAnsi" w:hAnsiTheme="minorHAnsi" w:eastAsiaTheme="minorEastAsia" w:cstheme="minorBidi"/>
          <w:color w:val="000000"/>
          <w:lang w:eastAsia="en-GB"/>
          <w14:ligatures w14:val="none"/>
        </w:rPr>
      </w:r>
      <w:r>
        <w:rPr>
          <w:rFonts w:asciiTheme="minorHAnsi" w:hAnsiTheme="minorHAnsi" w:eastAsiaTheme="minorEastAsia" w:cstheme="minorBidi"/>
          <w:color w:val="000000"/>
          <w:lang w:eastAsia="en-GB"/>
          <w14:ligatures w14:val="none"/>
        </w:rPr>
      </w:r>
    </w:p>
    <w:p w14:paraId="7B05376C" w14:textId="77777777">
      <w:pPr>
        <w:pStyle w:val="1093"/>
        <w:pBdr/>
        <w:spacing/>
        <w:ind/>
        <w:rPr>
          <w:rFonts w:asciiTheme="minorHAnsi" w:hAnsiTheme="minorHAnsi" w:eastAsiaTheme="minorEastAsia" w:cstheme="minorBidi"/>
          <w:sz w:val="24"/>
          <w:szCs w:val="24"/>
        </w:rPr>
      </w:pPr>
      <w:r>
        <w:rPr>
          <w:rFonts w:asciiTheme="minorHAnsi" w:hAnsiTheme="minorHAnsi" w:eastAsiaTheme="minorEastAsia" w:cstheme="minorBidi"/>
          <w:sz w:val="24"/>
          <w:szCs w:val="24"/>
        </w:rPr>
        <w:t xml:space="preserve"> </w:t>
      </w:r>
      <w:r>
        <w:rPr>
          <w:rFonts w:asciiTheme="minorHAnsi" w:hAnsiTheme="minorHAnsi" w:eastAsiaTheme="minorEastAsia" w:cstheme="minorBidi"/>
          <w:sz w:val="24"/>
          <w:szCs w:val="24"/>
        </w:rPr>
      </w:r>
    </w:p>
    <w:p w14:paraId="7AED5532" w14:textId="580F6D94">
      <w:pPr>
        <w:pBdr/>
        <w:spacing/>
        <w:ind/>
        <w:rPr>
          <w:rFonts w:asciiTheme="minorHAnsi" w:hAnsiTheme="minorHAnsi" w:eastAsiaTheme="minorEastAsia" w:cstheme="minorBidi"/>
        </w:rPr>
      </w:pPr>
      <w:r>
        <w:rPr>
          <w:rFonts w:asciiTheme="minorHAnsi" w:hAnsiTheme="minorHAnsi" w:eastAsiaTheme="minorEastAsia" w:cstheme="minorBidi"/>
        </w:rPr>
        <w:t xml:space="preserve">Please tell us if parts of your responses or your whole response contains confidential information and explain why below.</w:t>
      </w:r>
      <w:r>
        <w:rPr>
          <w:rFonts w:asciiTheme="minorHAnsi" w:hAnsiTheme="minorHAnsi" w:eastAsiaTheme="minorEastAsia" w:cstheme="minorBidi"/>
        </w:rPr>
      </w:r>
    </w:p>
    <w:p w14:paraId="69E12415" w14:textId="781DAE14">
      <w:pPr>
        <w:pStyle w:val="1039"/>
        <w:pBdr>
          <w:top w:val="single" w:color="000000" w:sz="8" w:space="1"/>
          <w:left w:val="single" w:color="000000" w:sz="8" w:space="0"/>
          <w:bottom w:val="single" w:color="000000" w:sz="8" w:space="1"/>
          <w:right w:val="single" w:color="000000" w:sz="8" w:space="4"/>
        </w:pBdr>
        <w:spacing/>
        <w:ind/>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3193CCCC" w14:textId="77777777">
      <w:pPr>
        <w:pStyle w:val="1039"/>
        <w:pBdr>
          <w:top w:val="single" w:color="000000" w:sz="8" w:space="1"/>
          <w:left w:val="single" w:color="000000" w:sz="8" w:space="0"/>
          <w:bottom w:val="single" w:color="000000" w:sz="8" w:space="1"/>
          <w:right w:val="single" w:color="000000" w:sz="8" w:space="4"/>
        </w:pBdr>
        <w:spacing/>
        <w:ind/>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0B5B7CA2">
      <w:pPr>
        <w:pStyle w:val="1004"/>
        <w:pBdr/>
        <w:spacing/>
        <w:ind/>
        <w:rPr>
          <w:rFonts w:ascii="Aptos" w:hAnsi="Aptos" w:cs="Aptos"/>
          <w:b w:val="0"/>
          <w:bCs w:val="0"/>
          <w:sz w:val="36"/>
          <w:szCs w:val="36"/>
        </w:rPr>
      </w:pPr>
      <w:r>
        <w:rPr>
          <w:sz w:val="36"/>
          <w:szCs w:val="36"/>
          <w:highlight w:val="none"/>
        </w:rPr>
      </w:r>
      <w:r>
        <w:rPr>
          <w:rFonts w:ascii="Aptos" w:hAnsi="Aptos" w:eastAsia="Aptos" w:cs="Aptos"/>
          <w:b w:val="0"/>
          <w:bCs w:val="0"/>
          <w:color w:val="0f1115"/>
          <w:sz w:val="36"/>
          <w:szCs w:val="36"/>
          <w:highlight w:val="white"/>
        </w:rPr>
        <w:t xml:space="preserve">Summary of Key Evidence</w:t>
      </w:r>
      <w:r>
        <w:rPr>
          <w:rFonts w:ascii="Aptos" w:hAnsi="Aptos" w:eastAsia="Aptos" w:cs="Aptos"/>
          <w:b w:val="0"/>
          <w:bCs w:val="0"/>
          <w:sz w:val="36"/>
          <w:szCs w:val="36"/>
          <w:highlight w:val="none"/>
        </w:rPr>
      </w:r>
      <w:r>
        <w:rPr>
          <w:rFonts w:ascii="Aptos" w:hAnsi="Aptos" w:cs="Aptos"/>
          <w:b w:val="0"/>
          <w:bCs w:val="0"/>
          <w:sz w:val="36"/>
          <w:szCs w:val="36"/>
        </w:rPr>
      </w:r>
    </w:p>
    <w:p w14:paraId="3BF35B83">
      <w:pPr>
        <w:pStyle w:val="1004"/>
        <w:pBdr/>
        <w:spacing/>
        <w:ind/>
        <w:rPr>
          <w:rFonts w:ascii="Aptos" w:hAnsi="Aptos" w:cs="Aptos"/>
          <w:highlight w:val="none"/>
        </w:rPr>
      </w:pPr>
      <w:r>
        <w:rPr>
          <w:rFonts w:ascii="Aptos" w:hAnsi="Aptos" w:eastAsia="Aptos" w:cs="Aptos"/>
          <w:highlight w:val="none"/>
        </w:rPr>
      </w:r>
      <w:r>
        <w:rPr>
          <w:rFonts w:ascii="Aptos" w:hAnsi="Aptos" w:eastAsia="Aptos" w:cs="Aptos"/>
          <w:color w:val="0f1115"/>
          <w:sz w:val="24"/>
          <w:highlight w:val="white"/>
        </w:rPr>
        <w:t xml:space="preserve">This response draws on three pieces of evidence: (1) a direct analysis of UK Power Networks' open Data Centre Demand Profiles dataset (96 sites, 5.4 million half-hourly readings), showing a median site draws 18% of secured c</w:t>
      </w:r>
      <w:r>
        <w:rPr>
          <w:rFonts w:ascii="Aptos" w:hAnsi="Aptos" w:eastAsia="Aptos" w:cs="Aptos"/>
          <w:color w:val="0f1115"/>
          <w:sz w:val="24"/>
          <w:highlight w:val="white"/>
        </w:rPr>
        <w:t xml:space="preserve">apacity; (2) a test of TNUoS band-step accessibility against NESO's published tariff tables, showing a structural 'Dead Zone' at both 5MW and 40MW; and (3) Ofgem's own Table 4 capex data, showing the fee's proportionality varies materially by project size.</w:t>
      </w:r>
      <w:r>
        <w:rPr>
          <w:rFonts w:ascii="Aptos" w:hAnsi="Aptos" w:eastAsia="Aptos" w:cs="Aptos"/>
          <w:highlight w:val="none"/>
        </w:rPr>
      </w:r>
      <w:r>
        <w:rPr>
          <w:rFonts w:ascii="Aptos" w:hAnsi="Aptos" w:cs="Aptos"/>
          <w:highlight w:val="none"/>
        </w:rPr>
      </w:r>
    </w:p>
    <w:p>
      <w:pPr>
        <w:pStyle w:val="1004"/>
        <w:pBdr/>
        <w:spacing/>
        <w:ind/>
        <w:rPr>
          <w:rFonts w:asciiTheme="minorHAnsi" w:hAnsiTheme="minorHAnsi" w:eastAsiaTheme="minorEastAsia"/>
          <w:highlight w:val="none"/>
        </w:rPr>
      </w:pPr>
      <w:r>
        <w:t xml:space="preserve">A cross-regulatory note (not an answer to a specific question)</w:t>
      </w:r>
      <w:r>
        <w:rPr>
          <w:rFonts w:asciiTheme="minorHAnsi" w:hAnsiTheme="minorHAnsi" w:eastAsiaTheme="minorEastAsia"/>
          <w:b/>
          <w:bCs/>
          <w:sz w:val="24"/>
          <w:szCs w:val="24"/>
        </w:rPr>
      </w:r>
      <w:r>
        <w:rPr>
          <w:rFonts w:asciiTheme="minorHAnsi" w:hAnsiTheme="minorHAnsi" w:eastAsiaTheme="minorEastAsia"/>
          <w:highlight w:val="none"/>
        </w:rPr>
      </w:r>
    </w:p>
    <w:p>
      <w:pPr>
        <w:pBdr/>
        <w:spacing/>
        <w:ind/>
        <w:rPr/>
      </w:pPr>
      <w:r>
        <w:t xml:space="preserve">Curate covers connection charging and queue managem</w:t>
      </w:r>
      <w:r>
        <w:t xml:space="preserve">ent for data centres. Nothing here goes beyond that scope. But Ofgem’s own work points to a wider problem. At least four bodies shape the same system. Each moves a different lever, and none tracks what the other three are doing to the numbers it relies on:</w:t>
      </w:r>
      <w:r/>
    </w:p>
    <w:p>
      <w:pPr>
        <w:numPr>
          <w:ilvl w:val="0"/>
          <w:numId w:val="21"/>
        </w:numPr>
        <w:pBdr/>
        <w:spacing/>
        <w:ind/>
        <w:rPr/>
      </w:pPr>
      <w:r>
        <w:t xml:space="preserve">Ofgem sets the connection charge.</w:t>
      </w:r>
      <w:r/>
    </w:p>
    <w:p>
      <w:pPr>
        <w:numPr>
          <w:ilvl w:val="0"/>
          <w:numId w:val="21"/>
        </w:numPr>
        <w:pBdr/>
        <w:spacing/>
        <w:ind/>
        <w:rPr/>
      </w:pPr>
      <w:r>
        <w:t xml:space="preserve">NESO builds the demand forecast and the reinforcement case behind it, the capacity the charge is meant to price.</w:t>
      </w:r>
      <w:r/>
    </w:p>
    <w:p>
      <w:pPr>
        <w:numPr>
          <w:ilvl w:val="0"/>
          <w:numId w:val="21"/>
        </w:numPr>
        <w:pBdr/>
        <w:spacing/>
        <w:ind/>
        <w:rPr/>
      </w:pPr>
      <w:r>
        <w:t xml:space="preserve">DESNZ sets the AI-growth policy driving the demand now filling that queue.</w:t>
      </w:r>
      <w:r/>
    </w:p>
    <w:p>
      <w:pPr>
        <w:numPr>
          <w:ilvl w:val="0"/>
          <w:numId w:val="21"/>
        </w:numPr>
        <w:pBdr/>
        <w:spacing/>
        <w:ind/>
        <w:rPr/>
      </w:pPr>
      <w:r>
        <w:t xml:space="preserve">Local planning authorities decide, site by site, whether a data centre cools with water or with air. A choice that changes how much power it actually draws once connected.</w:t>
      </w:r>
      <w:r/>
    </w:p>
    <w:p>
      <w:pPr>
        <w:pBdr/>
        <w:spacing/>
        <w:ind/>
        <w:rPr/>
      </w:pPr>
      <w:r>
        <w:t xml:space="preserve">NESO’s own published uncertainty is the clearest evidence of the gap. Data Center Dynamics, reporting NESO’s framing of its 30–71 TW</w:t>
      </w:r>
      <w:r>
        <w:t xml:space="preserve">h demand range by 2050, attributes it entirely to “how many data centres will be built in the UK, compared to other competitive global markets”. Climate, heatwaves, and cooling-mode switching are missed, though planners must make those decisions routinely.</w:t>
      </w:r>
      <w:r>
        <w:rPr>
          <w:highlight w:val="none"/>
        </w:rPr>
      </w:r>
      <w:r/>
    </w:p>
    <w:p w14:paraId="55908B6F">
      <w:pPr>
        <w:pBdr/>
        <w:shd w:val="nil"/>
        <w:spacing/>
        <w:ind/>
        <w:rPr>
          <w:highlight w:val="none"/>
        </w:rPr>
      </w:pPr>
      <w:r>
        <w:rPr>
          <w:highlight w:val="none"/>
        </w:rPr>
        <w:br w:type="page" w:clear="all"/>
      </w:r>
      <w:r>
        <w:rPr>
          <w:highlight w:val="none"/>
        </w:rPr>
      </w:r>
      <w:r>
        <w:rPr>
          <w:highlight w:val="none"/>
        </w:rPr>
      </w:r>
    </w:p>
    <w:p>
      <w:pPr>
        <w:pBdr/>
        <w:spacing/>
        <w:ind/>
        <w:rPr>
          <w:highlight w:val="none"/>
        </w:rPr>
      </w:pPr>
      <w:r>
        <w:t xml:space="preserve">Parliament’s Data Centres inquiry finds the same gap on the water side. Energy UK (DCU0063) states that “air cooling systems can be used in water constrained areas, but these use more energy than </w:t>
      </w:r>
      <w:r>
        <w:t xml:space="preserve">evaporative systems,” and that “there is currently a lack of alignment in the timescales for securing all of the requirements necessary for a new development” across electricity, water, and planning. Global Action Plan (DCU0056) reports that the Environmen</w:t>
      </w:r>
      <w:r>
        <w:t xml:space="preserve">t Agency itself hits “barriers in gaining information about water consumption” from operators. Water UK (DCU0037) states plainly that the government’s AI Opportunities Action Plan “makes not a single mention of water,” nor does its AI for Science Strategy.</w:t>
      </w:r>
      <w:r>
        <w:rPr>
          <w:highlight w:val="none"/>
        </w:rPr>
      </w:r>
    </w:p>
    <w:p>
      <w:pPr>
        <w:pBdr/>
        <w:spacing/>
        <w:ind/>
        <w:rPr/>
      </w:pPr>
      <w:r>
        <w:t xml:space="preserve">Ofgem’s own Climate Resilience Report (ARP4, April 2025) already calls for “clarity… on overall resilience across key infrastructure and how regulators work together” (§5.5). The West London Technology Park dec</w:t>
      </w:r>
      <w:r>
        <w:t xml:space="preserve">ision (Iver, Buckinghamshire) shows the failure mode in practice: the government’s own legal position accepted a “serious logical error” in screening out a full Environmental Impact Assessment on the strength of mitigation measures that were never secured.</w:t>
      </w:r>
      <w:r/>
    </w:p>
    <w:p>
      <w:pPr>
        <w:pBdr/>
        <w:spacing/>
        <w:ind/>
        <w:rPr/>
      </w:pPr>
      <w:r>
        <w:t xml:space="preserve">We raise this so the record shows Ofgem was not left unaware. We will submit the same evidence to DESNZ and NESO, since forecasting and planning are their remits, not Ofgem’s.</w:t>
      </w:r>
      <w:r/>
    </w:p>
    <w:p w14:paraId="436075B8">
      <w:pPr>
        <w:pBdr/>
        <w:shd w:val="nil" w:color="auto"/>
        <w:spacing/>
        <w:ind/>
        <w:rPr>
          <w:rFonts w:asciiTheme="minorHAnsi" w:hAnsiTheme="minorHAnsi" w:eastAsiaTheme="minorEastAsia"/>
          <w:b/>
          <w:bCs/>
          <w:sz w:val="24"/>
          <w:szCs w:val="24"/>
        </w:rPr>
      </w:pPr>
      <w:r>
        <w:rPr>
          <w:highlight w:val="none"/>
        </w:rPr>
        <w:br w:type="page" w:clear="all"/>
      </w:r>
      <w:r>
        <w:rPr>
          <w:rFonts w:asciiTheme="minorHAnsi" w:hAnsiTheme="minorHAnsi" w:eastAsiaTheme="minorEastAsia"/>
          <w:b/>
          <w:bCs/>
          <w:sz w:val="24"/>
          <w:szCs w:val="24"/>
        </w:rPr>
      </w:r>
    </w:p>
    <w:p w14:paraId="502BEF65" w14:textId="2896D98E">
      <w:pPr>
        <w:pStyle w:val="1004"/>
        <w:pBdr/>
        <w:spacing/>
        <w:ind/>
        <w:rPr>
          <w:rFonts w:asciiTheme="minorHAnsi" w:hAnsiTheme="minorHAnsi" w:eastAsiaTheme="minorEastAsia"/>
          <w:highlight w:val="none"/>
        </w:rPr>
      </w:pPr>
      <w:r>
        <w:t xml:space="preserve">Data Centre Commitment Fee Mechanism and Design</w:t>
      </w:r>
      <w:r>
        <w:rPr>
          <w:rFonts w:asciiTheme="minorHAnsi" w:hAnsiTheme="minorHAnsi" w:eastAsiaTheme="minorEastAsia"/>
          <w:b/>
          <w:bCs/>
          <w:sz w:val="24"/>
          <w:szCs w:val="24"/>
        </w:rPr>
      </w:r>
      <w:r>
        <w:rPr>
          <w:rFonts w:asciiTheme="minorHAnsi" w:hAnsiTheme="minorHAnsi" w:eastAsiaTheme="minorEastAsia"/>
          <w:highlight w:val="none"/>
        </w:rPr>
      </w:r>
    </w:p>
    <w:p w14:paraId="6185ADC1" w14:textId="11ACEBDF">
      <w:pPr>
        <w:pStyle w:val="1029"/>
        <w:pBdr/>
        <w:spacing/>
        <w:ind/>
        <w:rPr>
          <w:rFonts w:asciiTheme="minorHAnsi" w:hAnsiTheme="minorHAnsi" w:eastAsiaTheme="minorEastAsia" w:cstheme="minorBidi"/>
          <w:i/>
          <w:iCs/>
        </w:rPr>
      </w:pPr>
      <w:r>
        <w:t xml:space="preserve">Do you agree with our proposed Data Centre Commitment Fee, based on Option 1A?</w:t>
      </w:r>
      <w:r>
        <w:rPr>
          <w:rFonts w:asciiTheme="minorHAnsi" w:hAnsiTheme="minorHAnsi" w:eastAsiaTheme="minorEastAsia" w:cstheme="minorBidi"/>
          <w:i/>
          <w:iCs/>
        </w:rPr>
      </w:r>
      <w:r>
        <w:rPr>
          <w:rFonts w:asciiTheme="minorHAnsi" w:hAnsiTheme="minorHAnsi" w:eastAsiaTheme="minorEastAsia" w:cstheme="minorBidi"/>
          <w:i/>
          <w:iCs/>
        </w:rPr>
      </w:r>
    </w:p>
    <w:p w14:paraId="50F44275" w14:textId="1D532FC3">
      <w:pPr>
        <w:pStyle w:val="1047"/>
        <w:numPr>
          <w:ilvl w:val="0"/>
          <w:numId w:val="0"/>
        </w:numPr>
        <w:pBdr/>
        <w:spacing/>
        <w:ind w:left="788"/>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1F740865" w14:textId="2703A5B4">
      <w:pPr>
        <w:pStyle w:val="1047"/>
        <w:numPr>
          <w:ilvl w:val="0"/>
          <w:numId w:val="0"/>
        </w:numPr>
        <w:pBdr/>
        <w:spacing/>
        <w:ind w:left="788"/>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264496620"/>
          <w:placeholder>
            <w:docPart w:val="1A757B10A0BA420E8275E897F6B883AD"/>
          </w:placeholder>
          <w:rPr>
            <w:rFonts w:asciiTheme="minorHAnsi" w:hAnsiTheme="minorHAnsi" w:eastAsiaTheme="minorEastAsia" w:cstheme="minorBidi"/>
          </w:rPr>
        </w:sdtPr>
        <w:sdtContent>
          <w:r>
            <w:rPr>
              <w:rFonts w:asciiTheme="minorHAnsi" w:hAnsiTheme="minorHAnsi" w:eastAsiaTheme="minorEastAsia" w:cstheme="minorBidi"/>
            </w:rPr>
            <w:t xml:space="preserve">Yes</w:t>
          </w:r>
        </w:sdtContent>
      </w:sdt>
      <w:r>
        <w:rPr>
          <w:rFonts w:asciiTheme="minorHAnsi" w:hAnsiTheme="minorHAnsi" w:eastAsiaTheme="minorEastAsia" w:cstheme="minorBidi"/>
        </w:rPr>
      </w:r>
      <w:r>
        <w:rPr>
          <w:rFonts w:asciiTheme="minorHAnsi" w:hAnsiTheme="minorHAnsi" w:eastAsiaTheme="minorEastAsia" w:cstheme="minorBidi"/>
        </w:rPr>
      </w:r>
    </w:p>
    <w:p w14:paraId="7DCCCCF7" w14:textId="39CA8557">
      <w:pPr>
        <w:pStyle w:val="1039"/>
        <w:pBdr>
          <w:top w:val="single" w:color="000000" w:sz="8" w:space="1"/>
          <w:left w:val="single" w:color="000000" w:sz="8" w:space="0"/>
          <w:bottom w:val="single" w:color="000000" w:sz="8" w:space="1"/>
          <w:right w:val="single" w:color="000000" w:sz="8" w:space="4"/>
        </w:pBdr>
        <w:spacing/>
        <w:ind w:left="788"/>
        <w:rPr>
          <w:rFonts w:asciiTheme="minorHAnsi" w:hAnsiTheme="minorHAnsi" w:eastAsiaTheme="minorEastAsia"/>
          <w:sz w:val="24"/>
          <w:szCs w:val="24"/>
        </w:rPr>
      </w:pPr>
      <w:r>
        <w:rPr>
          <w:rFonts w:asciiTheme="minorHAnsi" w:hAnsiTheme="minorHAnsi" w:eastAsiaTheme="minorEastAsia"/>
          <w:sz w:val="24"/>
          <w:szCs w:val="24"/>
        </w:rPr>
        <w:t xml:space="preserve">Yes, in principle. Our utilisation evidence shows a meaningful share of secured </w:t>
      </w:r>
      <w:r>
        <w:rPr>
          <w:rFonts w:asciiTheme="minorHAnsi" w:hAnsiTheme="minorHAnsi" w:eastAsiaTheme="minorEastAsia"/>
          <w:sz w:val="24"/>
          <w:szCs w:val="24"/>
        </w:rPr>
        <w:t xml:space="preserve">capacity going unused across the data centre population we analysed (see our response on the proposed fee range below), which supports the case for a deterrent along these lines. But Option 1A’s design has two effects our evidence identifies as unintended.</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8"/>
        <w:rPr>
          <w:rFonts w:asciiTheme="minorHAnsi" w:hAnsiTheme="minorHAnsi" w:eastAsiaTheme="minorEastAsia"/>
          <w:sz w:val="24"/>
          <w:szCs w:val="24"/>
        </w:rPr>
      </w:pPr>
      <w:r>
        <w:rPr>
          <w:rFonts w:asciiTheme="minorHAnsi" w:hAnsiTheme="minorHAnsi" w:eastAsiaTheme="minorEastAsia"/>
          <w:sz w:val="24"/>
          <w:szCs w:val="24"/>
        </w:rPr>
        <w:t xml:space="preserve">First, it applies a flat, capex-linked fee regardless of a developer’s balance-sheet scale. This bears more heavily on smaller independents than on hyperscalers of equal proje</w:t>
      </w:r>
      <w:r>
        <w:rPr>
          <w:rFonts w:asciiTheme="minorHAnsi" w:hAnsiTheme="minorHAnsi" w:eastAsiaTheme="minorEastAsia"/>
          <w:sz w:val="24"/>
          <w:szCs w:val="24"/>
        </w:rPr>
        <w:t xml:space="preserve">ct quality, since the fee is a fixed percentage of capex but the contingent exposure—held from offer acceptance through to energisation—is a larger share of a smaller developer’s available capital (see our response on the upper end of the fee range below).</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8"/>
        <w:rPr>
          <w:rFonts w:asciiTheme="minorHAnsi" w:hAnsiTheme="minorHAnsi" w:eastAsiaTheme="minorEastAsia"/>
          <w:sz w:val="24"/>
          <w:szCs w:val="24"/>
        </w:rPr>
      </w:pPr>
      <w:r>
        <w:rPr>
          <w:rFonts w:asciiTheme="minorHAnsi" w:hAnsiTheme="minorHAnsi" w:eastAsiaTheme="minorEastAsia"/>
          <w:sz w:val="24"/>
          <w:szCs w:val="24"/>
        </w:rPr>
        <w:t xml:space="preserve">Second, its interaction with TNUoS band boundarie</w:t>
      </w:r>
      <w:r>
        <w:rPr>
          <w:rFonts w:asciiTheme="minorHAnsi" w:hAnsiTheme="minorHAnsi" w:eastAsiaTheme="minorEastAsia"/>
          <w:sz w:val="24"/>
          <w:szCs w:val="24"/>
        </w:rPr>
        <w:t xml:space="preserve">s can catch non-speculative projects that happen to sit near a threshold. A site in the ‘Dead Zone’ we describe in our response on the 40MW threshold below carries the fee as a pure additional cost, with no network-charge mitigation available to offset it.</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8"/>
        <w:rPr>
          <w:rFonts w:asciiTheme="minorHAnsi" w:hAnsiTheme="minorHAnsi" w:eastAsiaTheme="minorEastAsia"/>
          <w:sz w:val="24"/>
          <w:szCs w:val="24"/>
        </w:rPr>
      </w:pPr>
      <w:r>
        <w:rPr>
          <w:rFonts w:asciiTheme="minorHAnsi" w:hAnsiTheme="minorHAnsi" w:eastAsiaTheme="minorEastAsia"/>
          <w:sz w:val="24"/>
          <w:szCs w:val="24"/>
        </w:rPr>
        <w:t xml:space="preserve">We support Option 1A’s basic logic, with those two refinements. The first would require testing whether fee exposure should be calibrated to deve</w:t>
      </w:r>
      <w:r>
        <w:rPr>
          <w:rFonts w:asciiTheme="minorHAnsi" w:hAnsiTheme="minorHAnsi" w:eastAsiaTheme="minorEastAsia"/>
          <w:sz w:val="24"/>
          <w:szCs w:val="24"/>
        </w:rPr>
        <w:t xml:space="preserve">loper scale or project structure, not only to project capacity; the second would require Ofgem to examine whether projects near TNUoS band boundaries should be treated differently, rather than assuming network-charge flexibility scales uniformly with size.</w:t>
      </w:r>
      <w:r>
        <w:rPr>
          <w:rFonts w:asciiTheme="minorHAnsi" w:hAnsiTheme="minorHAnsi" w:eastAsiaTheme="minorEastAsia"/>
          <w:sz w:val="24"/>
          <w:szCs w:val="24"/>
        </w:rPr>
      </w:r>
    </w:p>
    <w:p w14:paraId="4A0344F9" w14:textId="77777777">
      <w:pPr>
        <w:pStyle w:val="1039"/>
        <w:pBdr>
          <w:top w:val="single" w:color="000000" w:sz="8" w:space="1"/>
          <w:left w:val="single" w:color="000000" w:sz="8" w:space="0"/>
          <w:bottom w:val="single" w:color="000000" w:sz="8" w:space="1"/>
          <w:right w:val="single" w:color="000000" w:sz="8" w:space="4"/>
        </w:pBdr>
        <w:spacing/>
        <w:ind w:left="788"/>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05CD4B28" w14:textId="0E0B9B06">
      <w:pPr>
        <w:pStyle w:val="1029"/>
        <w:numPr>
          <w:ilvl w:val="0"/>
          <w:numId w:val="29"/>
        </w:numPr>
        <w:pBdr/>
        <w:spacing/>
        <w:ind/>
        <w:rPr>
          <w:rFonts w:asciiTheme="minorHAnsi" w:hAnsiTheme="minorHAnsi" w:eastAsiaTheme="minorEastAsia" w:cstheme="minorBidi"/>
          <w:i/>
          <w:iCs/>
        </w:rPr>
      </w:pPr>
      <w:r>
        <w:t xml:space="preserve">Do you agree with our qualitative assessment? </w:t>
      </w:r>
      <w:r>
        <w:rPr>
          <w:rFonts w:asciiTheme="minorHAnsi" w:hAnsiTheme="minorHAnsi" w:eastAsiaTheme="minorEastAsia" w:cstheme="minorBidi"/>
          <w:i/>
          <w:iCs/>
        </w:rPr>
      </w:r>
      <w:r>
        <w:rPr>
          <w:rFonts w:asciiTheme="minorHAnsi" w:hAnsiTheme="minorHAnsi" w:eastAsiaTheme="minorEastAsia" w:cstheme="minorBidi"/>
          <w:i/>
          <w:iCs/>
        </w:rPr>
      </w:r>
    </w:p>
    <w:p w14:paraId="2FC8F1D5" w14:textId="77777777">
      <w:pPr>
        <w:pStyle w:val="1047"/>
        <w:numPr>
          <w:ilvl w:val="0"/>
          <w:numId w:val="0"/>
        </w:numPr>
        <w:pBdr/>
        <w:spacing/>
        <w:ind w:left="788"/>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4AF249FA" w14:textId="77777777">
      <w:pPr>
        <w:pStyle w:val="1047"/>
        <w:numPr>
          <w:ilvl w:val="0"/>
          <w:numId w:val="0"/>
        </w:numPr>
        <w:pBdr/>
        <w:spacing/>
        <w:ind w:left="788"/>
        <w:rPr>
          <w:rFonts w:asciiTheme="minorHAnsi" w:hAnsiTheme="minorHAnsi" w:eastAsiaTheme="minorEastAsia" w:cstheme="minorBidi"/>
        </w:rPr>
      </w:pPr>
      <w:r>
        <w:rPr>
          <w:rFonts w:asciiTheme="minorHAnsi" w:hAnsiTheme="minorHAnsi" w:eastAsiaTheme="minorEastAsia" w:cstheme="minorBidi"/>
        </w:rPr>
        <w:t xml:space="preserve">Yes</w:t>
      </w:r>
      <w:r>
        <w:rPr>
          <w:rFonts w:asciiTheme="minorHAnsi" w:hAnsiTheme="minorHAnsi" w:eastAsiaTheme="minorEastAsia" w:cstheme="minorBidi"/>
        </w:rPr>
      </w:r>
    </w:p>
    <w:p w14:paraId="2250F2DF" w14:textId="77777777">
      <w:pPr>
        <w:pStyle w:val="1039"/>
        <w:pBdr>
          <w:top w:val="single" w:color="000000" w:sz="8" w:space="1"/>
          <w:left w:val="single" w:color="000000" w:sz="8" w:space="0"/>
          <w:bottom w:val="single" w:color="000000" w:sz="8" w:space="1"/>
          <w:right w:val="single" w:color="000000" w:sz="8" w:space="4"/>
        </w:pBdr>
        <w:spacing/>
        <w:ind w:left="788"/>
        <w:rPr>
          <w:rFonts w:asciiTheme="minorHAnsi" w:hAnsiTheme="minorHAnsi" w:eastAsiaTheme="minorEastAsia"/>
          <w:sz w:val="24"/>
          <w:szCs w:val="24"/>
        </w:rPr>
      </w:pPr>
      <w:r>
        <w:rPr>
          <w:rFonts w:asciiTheme="minorHAnsi" w:hAnsiTheme="minorHAnsi" w:eastAsiaTheme="minorEastAsia"/>
          <w:sz w:val="24"/>
          <w:szCs w:val="24"/>
        </w:rPr>
      </w:r>
      <w:r>
        <w:rPr>
          <w:rFonts w:ascii="Arial" w:hAnsi="Arial" w:eastAsia="Arial" w:cs="Arial"/>
          <w:color w:val="0f1115"/>
          <w:sz w:val="23"/>
          <w:highlight w:val="white"/>
        </w:rPr>
        <w:t xml:space="preserve">We agree with the qualitative assessment in principle. Our utilisat</w:t>
      </w:r>
      <w:r>
        <w:rPr>
          <w:rFonts w:ascii="Arial" w:hAnsi="Arial" w:eastAsia="Arial" w:cs="Arial"/>
          <w:color w:val="0f1115"/>
          <w:sz w:val="23"/>
          <w:highlight w:val="white"/>
        </w:rPr>
        <w:t xml:space="preserve">ion evidence (see our response on the proposed fee range below) supports the case for action, while our Dead Zone analysis (see our response on the 40MW threshold below) suggests the fee's design needs refinement to avoid catching non-speculative projects.</w:t>
      </w:r>
      <w:r>
        <w:rPr>
          <w:rFonts w:asciiTheme="minorHAnsi" w:hAnsiTheme="minorHAnsi" w:eastAsiaTheme="minorEastAsia"/>
          <w:sz w:val="24"/>
          <w:szCs w:val="24"/>
        </w:rPr>
      </w:r>
      <w:r>
        <w:rPr>
          <w:rFonts w:asciiTheme="minorHAnsi" w:hAnsiTheme="minorHAnsi" w:eastAsiaTheme="minorEastAsia"/>
          <w:sz w:val="24"/>
          <w:szCs w:val="24"/>
        </w:rPr>
      </w:r>
    </w:p>
    <w:p w14:paraId="2517CB03" w14:textId="30E029DF">
      <w:pPr>
        <w:pStyle w:val="1004"/>
        <w:pBdr/>
        <w:spacing/>
        <w:ind/>
        <w:rPr>
          <w:rFonts w:asciiTheme="minorHAnsi" w:hAnsiTheme="minorHAnsi" w:eastAsiaTheme="minorEastAsia"/>
          <w:b/>
          <w:bCs/>
          <w:sz w:val="24"/>
          <w:szCs w:val="24"/>
        </w:rPr>
      </w:pPr>
      <w:r>
        <w:t xml:space="preserve">Data Centre Commitment Fee Value and Calibration</w:t>
      </w:r>
      <w:r>
        <w:rPr>
          <w:rFonts w:asciiTheme="minorHAnsi" w:hAnsiTheme="minorHAnsi" w:eastAsiaTheme="minorEastAsia"/>
          <w:b/>
          <w:bCs/>
          <w:sz w:val="24"/>
          <w:szCs w:val="24"/>
        </w:rPr>
      </w:r>
      <w:r>
        <w:rPr>
          <w:rFonts w:asciiTheme="minorHAnsi" w:hAnsiTheme="minorHAnsi" w:eastAsiaTheme="minorEastAsia"/>
          <w:b/>
          <w:bCs/>
          <w:sz w:val="24"/>
          <w:szCs w:val="24"/>
        </w:rPr>
      </w:r>
    </w:p>
    <w:p w14:paraId="2215D62C" w14:textId="081CEDE4">
      <w:pPr>
        <w:pStyle w:val="1047"/>
        <w:numPr>
          <w:ilvl w:val="0"/>
          <w:numId w:val="29"/>
        </w:numPr>
        <w:pBdr/>
        <w:spacing/>
        <w:ind/>
        <w:rPr>
          <w:rFonts w:asciiTheme="minorHAnsi" w:hAnsiTheme="minorHAnsi" w:eastAsiaTheme="minorEastAsia" w:cstheme="minorBidi"/>
        </w:rPr>
      </w:pPr>
      <w:r>
        <w:t xml:space="preserve">Is it reasonable to assess the impact of the fee on a hypothetical data centre IRR for a viable project? If not, what alternative basis for an assessment of the impact of the fee on a viable data centre would be more appropriate?</w:t>
      </w:r>
      <w:r>
        <w:rPr>
          <w:rFonts w:asciiTheme="minorHAnsi" w:hAnsiTheme="minorHAnsi" w:eastAsiaTheme="minorEastAsia" w:cstheme="minorBidi"/>
        </w:rPr>
      </w:r>
      <w:r>
        <w:rPr>
          <w:rFonts w:asciiTheme="minorHAnsi" w:hAnsiTheme="minorHAnsi" w:eastAsiaTheme="minorEastAsia" w:cstheme="minorBidi"/>
        </w:rPr>
      </w:r>
    </w:p>
    <w:p w14:paraId="7D280F27" w14:textId="2DEDFE9B">
      <w:pPr>
        <w:pStyle w:val="1047"/>
        <w:numPr>
          <w:ilvl w:val="0"/>
          <w:numId w:val="0"/>
        </w:numPr>
        <w:pBdr/>
        <w:spacing/>
        <w:ind w:left="788"/>
        <w:rPr>
          <w:rFonts w:asciiTheme="minorHAnsi" w:hAnsiTheme="minorHAnsi" w:eastAsiaTheme="minorEastAsia" w:cstheme="minorBidi"/>
        </w:rPr>
      </w:pPr>
      <w:r/>
      <w:sdt>
        <w:sdtPr>
          <w15:appearance w15:val="boundingBox"/>
          <w:id w:val="-2046125748"/>
          <w:placeholder>
            <w:docPart w:val="7E833E5A21894EA9938089F85843E55C"/>
          </w:placeholder>
          <w:rPr>
            <w:rFonts w:asciiTheme="minorHAnsi" w:hAnsiTheme="minorHAnsi" w:eastAsiaTheme="minorEastAsia" w:cstheme="minorBidi"/>
          </w:rPr>
        </w:sdtPr>
        <w:sdtContent>
          <w:r>
            <w:t xml:space="preserve">No – not fully (see response)</w:t>
          </w:r>
        </w:sdtContent>
      </w:sdt>
      <w:r>
        <w:rPr>
          <w:rFonts w:asciiTheme="minorHAnsi" w:hAnsiTheme="minorHAnsi" w:eastAsiaTheme="minorEastAsia" w:cstheme="minorBidi"/>
        </w:rPr>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8"/>
        <w:rPr>
          <w:rFonts w:asciiTheme="minorHAnsi" w:hAnsiTheme="minorHAnsi" w:eastAsiaTheme="minorEastAsia"/>
          <w:sz w:val="24"/>
          <w:szCs w:val="24"/>
        </w:rPr>
      </w:pPr>
      <w:r>
        <w:rPr>
          <w:rFonts w:asciiTheme="minorHAnsi" w:hAnsiTheme="minorHAnsi" w:eastAsiaTheme="minorEastAsia"/>
          <w:sz w:val="24"/>
          <w:szCs w:val="24"/>
        </w:rPr>
        <w:t xml:space="preserve">Not fully. A hypothetical-IRR sensitivity assumes the value being tested moves smoothly with project economics. Ours doesn’t.</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8"/>
        <w:rPr>
          <w:rFonts w:asciiTheme="minorHAnsi" w:hAnsiTheme="minorHAnsi" w:eastAsiaTheme="minorEastAsia"/>
          <w:sz w:val="24"/>
          <w:szCs w:val="24"/>
        </w:rPr>
      </w:pPr>
      <w:r>
        <w:rPr>
          <w:rFonts w:asciiTheme="minorHAnsi" w:hAnsiTheme="minorHAnsi" w:eastAsiaTheme="minorEastAsia"/>
          <w:sz w:val="24"/>
          <w:szCs w:val="24"/>
        </w:rPr>
        <w:t xml:space="preserve">For HV- and EHV-connected sites, the tier our evidence covers, NESO’s non-locational TNUoS demand residual is billed in fixed capacity bands, not on a sliding scale (NESO, Final TNUoS Tariffs for 2026/27, Table 10 and Table TB).</w:t>
      </w:r>
      <w:r>
        <w:rPr>
          <w:rFonts w:asciiTheme="minorHAnsi" w:hAnsiTheme="minorHAnsi" w:eastAsiaTheme="minorEastAsia"/>
          <w:sz w:val="24"/>
          <w:szCs w:val="24"/>
        </w:rPr>
        <w:t xml:space="preserve"> A site’s charge moves only when its agreed capacity crosses a band boundary. A marginal change in how the site operates won’t move it. (NESO’s separate T-Demand bands run on a different basis, annual MWh, and don’t apply to the sites our evidence covers.)</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8"/>
        <w:rPr>
          <w:rFonts w:asciiTheme="minorHAnsi" w:hAnsiTheme="minorHAnsi" w:eastAsiaTheme="minorEastAsia"/>
          <w:sz w:val="24"/>
          <w:szCs w:val="24"/>
        </w:rPr>
      </w:pPr>
      <w:r>
        <w:rPr>
          <w:rFonts w:asciiTheme="minorHAnsi" w:hAnsiTheme="minorHAnsi" w:eastAsiaTheme="minorEastAsia"/>
          <w:sz w:val="24"/>
          <w:szCs w:val="24"/>
        </w:rPr>
        <w:t xml:space="preserve">We tested this against a real 40MW site, DataVita DV1 in Lanarkshire, at its fee-liable target capacity, using NESO’s own published Table TB thresholds. On our best estimate of </w:t>
      </w:r>
      <w:r>
        <w:rPr>
          <w:rFonts w:asciiTheme="minorHAnsi" w:hAnsiTheme="minorHAnsi" w:eastAsiaTheme="minorEastAsia"/>
          <w:sz w:val="24"/>
          <w:szCs w:val="24"/>
        </w:rPr>
        <w:t xml:space="preserve">its connection voltage, not independently confirmed; see our response on the 40MW threshold below for the full basis,  DV1 sits in the top TNUoS band, EHV4. To reach the next band down, it would need to cut its contracted capacity by more than half: 52.5%.</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8"/>
        <w:rPr>
          <w:rFonts w:asciiTheme="minorHAnsi" w:hAnsiTheme="minorHAnsi" w:eastAsiaTheme="minorEastAsia"/>
          <w:sz w:val="24"/>
          <w:szCs w:val="24"/>
        </w:rPr>
      </w:pPr>
      <w:r>
        <w:rPr>
          <w:rFonts w:asciiTheme="minorHAnsi" w:hAnsiTheme="minorHAnsi" w:eastAsiaTheme="minorEastAsia"/>
          <w:sz w:val="24"/>
          <w:szCs w:val="24"/>
        </w:rPr>
        <w:t xml:space="preserve">That’s not a marginal operating choice. It’s a capacity-surrender decision, the kind of</w:t>
      </w:r>
      <w:r>
        <w:rPr>
          <w:rFonts w:asciiTheme="minorHAnsi" w:hAnsiTheme="minorHAnsi" w:eastAsiaTheme="minorEastAsia"/>
          <w:sz w:val="24"/>
          <w:szCs w:val="24"/>
        </w:rPr>
        <w:t xml:space="preserve"> step-function effect a smooth IRR curve can’t capture. We recommend Ofgem test the fee against at least one scenario built around this step, particularly for projects sized near a band boundary, rather than relying on a hypothetical-IRR sensitivity alone.</w:t>
      </w:r>
      <w:r>
        <w:rPr>
          <w:rFonts w:asciiTheme="minorHAnsi" w:hAnsiTheme="minorHAnsi" w:eastAsiaTheme="minorEastAsia"/>
          <w:sz w:val="24"/>
          <w:szCs w:val="24"/>
        </w:rPr>
      </w:r>
    </w:p>
    <w:p w14:paraId="5C637F35" w14:textId="77777777">
      <w:pPr>
        <w:pStyle w:val="1039"/>
        <w:pBdr>
          <w:top w:val="single" w:color="000000" w:sz="8" w:space="1"/>
          <w:left w:val="single" w:color="000000" w:sz="8" w:space="0"/>
          <w:bottom w:val="single" w:color="000000" w:sz="8" w:space="1"/>
          <w:right w:val="single" w:color="000000" w:sz="8" w:space="4"/>
        </w:pBdr>
        <w:spacing/>
        <w:ind w:left="788"/>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463F4632" w14:textId="4B096805">
      <w:pPr>
        <w:pStyle w:val="1029"/>
        <w:pBdr/>
        <w:spacing/>
        <w:ind/>
        <w:rPr>
          <w:rFonts w:asciiTheme="minorHAnsi" w:hAnsiTheme="minorHAnsi" w:eastAsiaTheme="minorEastAsia" w:cstheme="minorBidi"/>
        </w:rPr>
      </w:pPr>
      <w:r>
        <w:rPr>
          <w:rFonts w:asciiTheme="minorHAnsi" w:hAnsiTheme="minorHAnsi" w:eastAsiaTheme="minorEastAsia" w:cstheme="minorBidi"/>
        </w:rPr>
        <w:t xml:space="preserve">Assuming your data centre project will progress to energisation, what would be the impact on your IRR if the Data Centre Commitment Fee value is set at 2.5% or 7.5% of the average capital costs per MW?</w:t>
      </w:r>
      <w:r>
        <w:rPr>
          <w:rFonts w:asciiTheme="minorHAnsi" w:hAnsiTheme="minorHAnsi" w:eastAsiaTheme="minorEastAsia" w:cstheme="minorBidi"/>
        </w:rPr>
      </w:r>
    </w:p>
    <w:p w14:paraId="213C80C4" w14:textId="79995A90">
      <w:pPr>
        <w:pStyle w:val="1047"/>
        <w:numPr>
          <w:ilvl w:val="0"/>
          <w:numId w:val="0"/>
        </w:numPr>
        <w:pBdr/>
        <w:spacing/>
        <w:ind w:left="788"/>
        <w:rPr>
          <w:rFonts w:asciiTheme="minorHAnsi" w:hAnsiTheme="minorHAnsi" w:eastAsiaTheme="minorEastAsia" w:cstheme="minorBidi"/>
        </w:rPr>
      </w:pPr>
      <w:r>
        <w:rPr>
          <w:rFonts w:asciiTheme="minorHAnsi" w:hAnsiTheme="minorHAnsi" w:eastAsiaTheme="minorEastAsia" w:cstheme="minorBidi"/>
        </w:rPr>
        <w:t xml:space="preserve">Please provide reasons and relevant evidence to support your answer.</w:t>
      </w:r>
      <w:r>
        <w:rPr>
          <w:rFonts w:asciiTheme="minorHAnsi" w:hAnsiTheme="minorHAnsi" w:eastAsiaTheme="minorEastAsia" w:cstheme="minorBidi"/>
        </w:rPr>
      </w:r>
    </w:p>
    <w:p w14:paraId="2C90B470" w14:textId="22152439">
      <w:pPr>
        <w:pStyle w:val="1047"/>
        <w:numPr>
          <w:ilvl w:val="0"/>
          <w:numId w:val="0"/>
        </w:numPr>
        <w:pBdr/>
        <w:spacing/>
        <w:ind w:left="788"/>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236318646"/>
          <w:placeholder>
            <w:docPart w:val="BD2BE12BFA4642C68040558806FD3C31"/>
          </w:placeholder>
          <w:rPr>
            <w:rFonts w:asciiTheme="minorHAnsi" w:hAnsiTheme="minorHAnsi" w:eastAsiaTheme="minorEastAsia" w:cstheme="minorBidi"/>
          </w:rPr>
        </w:sdtPr>
        <w:sdtContent>
          <w:r>
            <w:rPr>
              <w:rFonts w:asciiTheme="minorHAnsi" w:hAnsiTheme="minorHAnsi" w:eastAsiaTheme="minorEastAsia" w:cstheme="minorBidi"/>
            </w:rPr>
            <w:t xml:space="preserve">N/A – see response</w:t>
          </w:r>
        </w:sdtContent>
      </w:sdt>
      <w:r>
        <w:rPr>
          <w:rFonts w:asciiTheme="minorHAnsi" w:hAnsiTheme="minorHAnsi" w:eastAsiaTheme="minorEastAsia" w:cstheme="minorBidi"/>
        </w:rPr>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8"/>
        <w:rPr>
          <w:rFonts w:asciiTheme="minorHAnsi" w:hAnsiTheme="minorHAnsi" w:eastAsiaTheme="minorEastAsia"/>
          <w:sz w:val="24"/>
          <w:szCs w:val="24"/>
        </w:rPr>
      </w:pPr>
      <w:r>
        <w:rPr>
          <w:rFonts w:asciiTheme="minorHAnsi" w:hAnsiTheme="minorHAnsi" w:eastAsiaTheme="minorEastAsia"/>
          <w:sz w:val="24"/>
          <w:szCs w:val="24"/>
        </w:rPr>
        <w:t xml:space="preserve">We can’t give a specific IRR figure. We built thi</w:t>
      </w:r>
      <w:r>
        <w:rPr>
          <w:rFonts w:asciiTheme="minorHAnsi" w:hAnsiTheme="minorHAnsi" w:eastAsiaTheme="minorEastAsia"/>
          <w:sz w:val="24"/>
          <w:szCs w:val="24"/>
        </w:rPr>
        <w:t xml:space="preserve">s response’s evidence without a project-finance model on purpose: any discount-rate or capital-structure assumption we chose wouldn’t generalise across developers, and wouldn’t meet the same evidentiary bar as the network-charge modelling we offer instead.</w:t>
      </w:r>
      <w:r>
        <w:rPr>
          <w:rFonts w:asciiTheme="minorHAnsi" w:hAnsiTheme="minorHAnsi" w:eastAsiaTheme="minorEastAsia"/>
          <w:sz w:val="24"/>
          <w:szCs w:val="24"/>
        </w:rPr>
      </w:r>
    </w:p>
    <w:p w14:paraId="0DC13C5E">
      <w:pPr>
        <w:pStyle w:val="1039"/>
        <w:pBdr>
          <w:top w:val="single" w:color="000000" w:sz="8" w:space="0"/>
          <w:left w:val="single" w:color="000000" w:sz="8" w:space="0"/>
          <w:bottom w:val="single" w:color="000000" w:sz="8" w:space="0"/>
          <w:right w:val="single" w:color="000000" w:sz="8" w:space="3"/>
        </w:pBdr>
        <w:spacing/>
        <w:ind w:left="788"/>
        <w:rPr>
          <w:rFonts w:asciiTheme="minorHAnsi" w:hAnsiTheme="minorHAnsi" w:eastAsiaTheme="minorEastAsia"/>
          <w:sz w:val="24"/>
          <w:szCs w:val="24"/>
        </w:rPr>
      </w:pPr>
      <w:r>
        <w:rPr>
          <w:rFonts w:asciiTheme="minorHAnsi" w:hAnsiTheme="minorHAnsi" w:eastAsiaTheme="minorEastAsia"/>
          <w:sz w:val="24"/>
          <w:szCs w:val="24"/>
          <w:highlight w:val="none"/>
        </w:rPr>
      </w:r>
      <w:r>
        <w:rPr>
          <w:rFonts w:asciiTheme="minorHAnsi" w:hAnsiTheme="minorHAnsi" w:eastAsiaTheme="minorEastAsia"/>
          <w:sz w:val="24"/>
          <w:szCs w:val="24"/>
          <w:highlight w:val="none"/>
        </w:rPr>
      </w:r>
      <w:r>
        <w:rPr>
          <w:rFonts w:asciiTheme="minorHAnsi" w:hAnsiTheme="minorHAnsi" w:eastAsiaTheme="minorEastAsia"/>
          <w:sz w:val="24"/>
          <w:szCs w:val="24"/>
          <w:highlight w:val="none"/>
        </w:rPr>
      </w:r>
    </w:p>
    <w:p>
      <w:pPr>
        <w:pStyle w:val="1039"/>
        <w:pBdr>
          <w:top w:val="single" w:color="000000" w:sz="8" w:space="1"/>
          <w:left w:val="single" w:color="000000" w:sz="8" w:space="0"/>
          <w:bottom w:val="single" w:color="000000" w:sz="8" w:space="1"/>
          <w:right w:val="single" w:color="000000" w:sz="8" w:space="4"/>
        </w:pBdr>
        <w:spacing/>
        <w:ind w:left="788"/>
        <w:rPr>
          <w:rFonts w:asciiTheme="minorHAnsi" w:hAnsiTheme="minorHAnsi" w:eastAsiaTheme="minorEastAsia"/>
          <w:sz w:val="24"/>
          <w:szCs w:val="24"/>
          <w:highlight w:val="none"/>
        </w:rPr>
      </w:pPr>
      <w:r>
        <w:rPr>
          <w:rFonts w:asciiTheme="minorHAnsi" w:hAnsiTheme="minorHAnsi" w:eastAsiaTheme="minorEastAsia"/>
          <w:sz w:val="24"/>
          <w:szCs w:val="24"/>
        </w:rPr>
        <w:t xml:space="preserve">We offer something directly evidenced: the fee expressed as a share of Ofgem’s own published capital-cost data (Table 4), for a real 40MW site sitting exactly at the fee’s</w:t>
      </w:r>
      <w:r>
        <w:rPr>
          <w:rFonts w:asciiTheme="minorHAnsi" w:hAnsiTheme="minorHAnsi" w:eastAsiaTheme="minorEastAsia"/>
          <w:sz w:val="24"/>
          <w:szCs w:val="24"/>
        </w:rPr>
        <w:t xml:space="preserve"> applicability threshold; see our response on the proposed fee range below. Any respondent building a genuine IRR model should check it against this capex-ratio figure. For a viable project under typical financing assumptions, the two should broadly agree.</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8"/>
        <w:rPr>
          <w:rFonts w:asciiTheme="minorHAnsi" w:hAnsiTheme="minorHAnsi" w:eastAsiaTheme="minorEastAsia"/>
          <w:sz w:val="24"/>
          <w:szCs w:val="24"/>
        </w:rPr>
      </w:pPr>
      <w:r>
        <w:rPr>
          <w:rFonts w:asciiTheme="minorHAnsi" w:hAnsiTheme="minorHAnsi" w:eastAsiaTheme="minorEastAsia"/>
          <w:sz w:val="24"/>
          <w:szCs w:val="24"/>
        </w:rPr>
        <w:t xml:space="preserve">One more point bears directly on this question. IRR sensitivity to the fee isn’t uniform, even at a fixed percentage, it depends on whether the project </w:t>
      </w:r>
      <w:r>
        <w:rPr>
          <w:rFonts w:asciiTheme="minorHAnsi" w:hAnsiTheme="minorHAnsi" w:eastAsiaTheme="minorEastAsia"/>
          <w:sz w:val="24"/>
          <w:szCs w:val="24"/>
        </w:rPr>
        <w:t xml:space="preserve">can reach TNUoS band-step mitigation (see our response on the 40MW threshold below). A project inside the ‘Dead Zone’ we describe there carries the fee as a fixed cost, with no network-charge relief to offset it. A project with real headroom to step down a</w:t>
      </w:r>
      <w:r>
        <w:rPr>
          <w:rFonts w:asciiTheme="minorHAnsi" w:hAnsiTheme="minorHAnsi" w:eastAsiaTheme="minorEastAsia"/>
          <w:sz w:val="24"/>
          <w:szCs w:val="24"/>
        </w:rPr>
        <w:t xml:space="preserve"> band doesn’t face the same exposure. So IRR sensitivity is non-linear and site-specific,  no single hypothetical-IRR figure can represent it. That’s a reason to treat the previous question’s whole approach with caution, not just a footnote to this answer.</w:t>
      </w:r>
      <w:r>
        <w:rPr>
          <w:rFonts w:asciiTheme="minorHAnsi" w:hAnsiTheme="minorHAnsi" w:eastAsiaTheme="minorEastAsia"/>
          <w:sz w:val="24"/>
          <w:szCs w:val="24"/>
        </w:rPr>
      </w:r>
    </w:p>
    <w:p w14:paraId="568997C1" w14:textId="77777777">
      <w:pPr>
        <w:pStyle w:val="1039"/>
        <w:pBdr>
          <w:top w:val="single" w:color="000000" w:sz="8" w:space="1"/>
          <w:left w:val="single" w:color="000000" w:sz="8" w:space="0"/>
          <w:bottom w:val="single" w:color="000000" w:sz="8" w:space="1"/>
          <w:right w:val="single" w:color="000000" w:sz="8" w:space="4"/>
        </w:pBdr>
        <w:spacing/>
        <w:ind w:left="788"/>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720102B1" w14:textId="77777777">
      <w:pPr>
        <w:pStyle w:val="1047"/>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Do you agree with the proposed estimate of approximately £9.5 million per MW as the average capital cost of building a data centre? </w:t>
      </w:r>
      <w:r>
        <w:rPr>
          <w:rFonts w:asciiTheme="minorHAnsi" w:hAnsiTheme="minorHAnsi" w:eastAsiaTheme="minorEastAsia" w:cstheme="minorBidi"/>
        </w:rPr>
      </w:r>
    </w:p>
    <w:p w14:paraId="3756FBAE" w14:textId="7C4EB19E">
      <w:pPr>
        <w:pStyle w:val="1047"/>
        <w:numPr>
          <w:ilvl w:val="0"/>
          <w:numId w:val="0"/>
        </w:numPr>
        <w:pBdr/>
        <w:spacing/>
        <w:ind w:left="1080"/>
        <w:rPr>
          <w:rFonts w:asciiTheme="minorHAnsi" w:hAnsiTheme="minorHAnsi" w:eastAsiaTheme="minorEastAsia" w:cstheme="minorBidi"/>
        </w:rPr>
      </w:pPr>
      <w:r>
        <w:rPr>
          <w:rFonts w:asciiTheme="minorHAnsi" w:hAnsiTheme="minorHAnsi" w:eastAsiaTheme="minorEastAsia" w:cstheme="minorBidi"/>
        </w:rPr>
        <w:t xml:space="preserve">Please provide reasons for your answer.</w:t>
      </w:r>
      <w:r>
        <w:rPr>
          <w:rFonts w:asciiTheme="minorHAnsi" w:hAnsiTheme="minorHAnsi" w:eastAsiaTheme="minorEastAsia" w:cstheme="minorBidi"/>
        </w:rPr>
      </w:r>
    </w:p>
    <w:p w14:paraId="5C4F1589" w14:textId="77777777">
      <w:pPr>
        <w:pStyle w:val="1047"/>
        <w:numPr>
          <w:ilvl w:val="0"/>
          <w:numId w:val="0"/>
        </w:numPr>
        <w:pBdr/>
        <w:spacing/>
        <w:ind w:left="785"/>
        <w:rPr>
          <w:rFonts w:asciiTheme="minorHAnsi" w:hAnsiTheme="minorHAnsi" w:eastAsiaTheme="minorEastAsia" w:cstheme="minorBidi"/>
        </w:rPr>
      </w:pPr>
      <w:r/>
      <w:bookmarkStart w:id="0" w:name="_Hlk189216789"/>
      <w:r>
        <w:rPr>
          <w:rFonts w:asciiTheme="minorHAnsi" w:hAnsiTheme="minorHAnsi" w:eastAsiaTheme="minorEastAsia" w:cstheme="minorBidi"/>
        </w:rPr>
        <w:t xml:space="preserve">Yes/ No </w:t>
      </w:r>
      <w:sdt>
        <w:sdtPr>
          <w15:appearance w15:val="boundingBox"/>
          <w:id w:val="-1275021709"/>
          <w:placeholder>
            <w:docPart w:val="C66E68E57DEB44AEB67B03F37F44EACC"/>
          </w:placeholder>
          <w:rPr>
            <w:rFonts w:asciiTheme="minorHAnsi" w:hAnsiTheme="minorHAnsi" w:eastAsiaTheme="minorEastAsia" w:cstheme="minorBidi"/>
          </w:rPr>
        </w:sdtPr>
        <w:sdtContent>
          <w:r>
            <w:rPr>
              <w:rFonts w:asciiTheme="minorHAnsi" w:hAnsiTheme="minorHAnsi" w:eastAsiaTheme="minorEastAsia" w:cstheme="minorBidi"/>
            </w:rPr>
            <w:t xml:space="preserve">No – not without qualification</w:t>
          </w:r>
        </w:sdtContent>
      </w:sdt>
      <w:r>
        <w:rPr>
          <w:rFonts w:asciiTheme="minorHAnsi" w:hAnsiTheme="minorHAnsi" w:eastAsiaTheme="minorEastAsia" w:cstheme="minorBidi"/>
        </w:rPr>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Not without qualification. Ofgem’s own Table 4 (DNO Request for Information) breaks cape</w:t>
      </w:r>
      <w:r>
        <w:rPr>
          <w:rFonts w:asciiTheme="minorHAnsi" w:hAnsiTheme="minorHAnsi" w:eastAsiaTheme="minorEastAsia"/>
          <w:sz w:val="24"/>
          <w:szCs w:val="24"/>
        </w:rPr>
        <w:t xml:space="preserve">x-per-MW down by project size. For the Medium band (10–50MW) — the band a newly-thresholded 40MW project sits at the edge of — both the mean (£13,541,800/MW) and the median (£10,051,053/MW) move away from the flat £9,500,000/MW average used to set the fee.</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understand why Of</w:t>
      </w:r>
      <w:r>
        <w:rPr>
          <w:rFonts w:asciiTheme="minorHAnsi" w:hAnsiTheme="minorHAnsi" w:eastAsiaTheme="minorEastAsia"/>
          <w:sz w:val="24"/>
          <w:szCs w:val="24"/>
        </w:rPr>
        <w:t xml:space="preserve">gem uses a single flat average (para 4.13): it’s simpler to implement, and it avoids distorting the market between project sizes. We don’t dispute that reasoning on its own terms. But our response on the proposed fee range below shows Medium-band sites alr</w:t>
      </w:r>
      <w:r>
        <w:rPr>
          <w:rFonts w:asciiTheme="minorHAnsi" w:hAnsiTheme="minorHAnsi" w:eastAsiaTheme="minorEastAsia"/>
          <w:sz w:val="24"/>
          <w:szCs w:val="24"/>
        </w:rPr>
        <w:t xml:space="preserve">eady sit close to the edge of Ofgem’s own proportionality target using the flat average. A size-specific average could move that assessment materially, in either direction. We’d ask Ofgem to state this sensitivity explicitly, alongside the headline figure.</w:t>
      </w:r>
      <w:bookmarkEnd w:id="0"/>
      <w:r>
        <w:rPr>
          <w:rFonts w:asciiTheme="minorHAnsi" w:hAnsiTheme="minorHAnsi" w:eastAsiaTheme="minorEastAsia"/>
          <w:sz w:val="24"/>
          <w:szCs w:val="24"/>
        </w:rPr>
      </w:r>
      <w:r>
        <w:rPr>
          <w:rFonts w:asciiTheme="minorHAnsi" w:hAnsiTheme="minorHAnsi" w:eastAsiaTheme="minorEastAsia"/>
          <w:sz w:val="24"/>
          <w:szCs w:val="24"/>
        </w:rPr>
      </w:r>
    </w:p>
    <w:p w14:paraId="79A3F494" w14:textId="47EE3D66">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67F26560" w14:textId="002EB46E">
      <w:pPr>
        <w:pStyle w:val="1029"/>
        <w:pBdr/>
        <w:spacing/>
        <w:ind/>
        <w:rPr>
          <w:rFonts w:asciiTheme="minorHAnsi" w:hAnsiTheme="minorHAnsi" w:eastAsiaTheme="minorEastAsia" w:cstheme="minorBidi"/>
        </w:rPr>
      </w:pPr>
      <w:r>
        <w:rPr>
          <w:rFonts w:asciiTheme="minorHAnsi" w:hAnsiTheme="minorHAnsi" w:eastAsiaTheme="minorEastAsia" w:cstheme="minorBidi"/>
        </w:rPr>
        <w:t xml:space="preserve">Do you agree that capital expenditure is a more appropriate basis than development expenditure for calculating the commitment fee?</w:t>
      </w:r>
      <w:r>
        <w:rPr>
          <w:rFonts w:asciiTheme="minorHAnsi" w:hAnsiTheme="minorHAnsi" w:eastAsiaTheme="minorEastAsia" w:cstheme="minorBidi"/>
        </w:rPr>
      </w:r>
    </w:p>
    <w:p w14:paraId="592801A5"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6ED3F4C0"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490134008"/>
          <w:placeholder>
            <w:docPart w:val="22CC5648D2384C17A4C12D0FD38893E9"/>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54615379"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34CC2E30"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407514F" w14:textId="54A200B1">
      <w:pPr>
        <w:pStyle w:val="1029"/>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Do you agree that a fee range of 2.5% to 7.5% of average capital costs is proportionate to the policy objective? What would value would best balance impact while avoiding undue burden?  Please provide reasons for your answer.</w:t>
      </w:r>
      <w:r>
        <w:rPr>
          <w:rFonts w:asciiTheme="minorHAnsi" w:hAnsiTheme="minorHAnsi" w:eastAsiaTheme="minorEastAsia" w:cstheme="minorBidi"/>
        </w:rPr>
      </w:r>
    </w:p>
    <w:p w14:paraId="67C7160B" w14:textId="77777777">
      <w:pPr>
        <w:pStyle w:val="1047"/>
        <w:numPr>
          <w:ilvl w:val="0"/>
          <w:numId w:val="0"/>
        </w:numPr>
        <w:pBdr/>
        <w:spacing/>
        <w:ind w:left="785"/>
        <w:rPr>
          <w:rFonts w:asciiTheme="minorHAnsi" w:hAnsiTheme="minorHAnsi" w:eastAsiaTheme="minorEastAsia" w:cstheme="minorBidi"/>
        </w:rPr>
      </w:pPr>
      <w:r/>
      <w:sdt>
        <w:sdtPr>
          <w15:appearance w15:val="boundingBox"/>
          <w:id w:val="-1843152516"/>
          <w:placeholder>
            <w:docPart w:val="78E291BC923E40EC9E0B35564FB0117A"/>
          </w:placeholder>
          <w:rPr>
            <w:rFonts w:asciiTheme="minorHAnsi" w:hAnsiTheme="minorHAnsi" w:eastAsiaTheme="minorEastAsia" w:cstheme="minorBidi"/>
          </w:rPr>
        </w:sdtPr>
        <w:sdtContent>
          <w:r>
            <w:rPr>
              <w:rFonts w:asciiTheme="minorHAnsi" w:hAnsiTheme="minorHAnsi" w:eastAsiaTheme="minorEastAsia" w:cstheme="minorBidi"/>
            </w:rPr>
            <w:t xml:space="preserve">Broadly yes – with a caveat (see response)</w:t>
          </w:r>
        </w:sdtContent>
      </w:sdt>
      <w:r>
        <w:rPr>
          <w:rFonts w:asciiTheme="minorHAnsi" w:hAnsiTheme="minorHAnsi" w:eastAsiaTheme="minorEastAsia" w:cstheme="minorBidi"/>
        </w:rPr>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Broadly, yes — with a caveat about where in the range it lands for smaller within-scope projects.</w:t>
      </w:r>
      <w:r>
        <w:rPr>
          <w:rFonts w:asciiTheme="minorHAnsi" w:hAnsiTheme="minorHAnsi" w:eastAsiaTheme="minorEastAsia"/>
          <w:sz w:val="24"/>
          <w:szCs w:val="24"/>
        </w:rPr>
        <w:t xml:space="preserve"> We tested the proposed range against a real, correctly-thresholded site: DataVita DV1, a 40MW facility sitting exactly at the fee’s applicability threshold, using Ofgem’s own Table 4 Medium (10–50MW) band capex data rather than an international benchmark.</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highlight w:val="none"/>
        </w:rPr>
      </w:pPr>
      <w:r>
        <w:rPr>
          <w:rFonts w:asciiTheme="minorHAnsi" w:hAnsiTheme="minorHAnsi" w:eastAsiaTheme="minorEastAsia"/>
          <w:sz w:val="24"/>
          <w:szCs w:val="24"/>
        </w:rPr>
        <w:t xml:space="preserve">At that anchor: mean capex (£13,541,800/MW, Table 4, Medium 10-50MW, n=8) put</w:t>
      </w:r>
      <w:r>
        <w:rPr>
          <w:rFonts w:asciiTheme="minorHAnsi" w:hAnsiTheme="minorHAnsi" w:eastAsiaTheme="minorEastAsia"/>
          <w:sz w:val="24"/>
          <w:szCs w:val="24"/>
        </w:rPr>
        <w:t xml:space="preserve">s the fee at 1.75% of capex at the low end (£237,500/MW) and 5.26% at the high end (£712,500/MW). Median capex (£10,051,053/MW) puts it at 2.36% and 7.09%. The fee spans Ofgem’s own 2.5%–7.5% target range, but dips below its own floor at the low end when m</w:t>
      </w:r>
      <w:r>
        <w:rPr>
          <w:rFonts w:asciiTheme="minorHAnsi" w:hAnsiTheme="minorHAnsi" w:eastAsiaTheme="minorEastAsia"/>
          <w:sz w:val="24"/>
          <w:szCs w:val="24"/>
        </w:rPr>
        <w:t xml:space="preserve">ean capex is used: 1.75%. The lower end of the range may be less proportionate for smaller within-scope (Medium-band) projects than for the larger projects the flat £9.5M average better represents. We recommend Ofgem check this size-sensitivity explicitly.</w:t>
      </w:r>
      <w:r>
        <w:rPr>
          <w:rFonts w:asciiTheme="minorHAnsi" w:hAnsiTheme="minorHAnsi" w:eastAsiaTheme="minorEastAsia"/>
          <w:sz w:val="24"/>
          <w:szCs w:val="24"/>
          <w:highlight w:val="none"/>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One basis caveat worth stating explicitly. Ofgem’s own consultation text (para 4.9) confirms </w:t>
      </w:r>
      <w:r>
        <w:rPr>
          <w:rFonts w:asciiTheme="minorHAnsi" w:hAnsiTheme="minorHAnsi" w:eastAsiaTheme="minorEastAsia"/>
          <w:sz w:val="24"/>
          <w:szCs w:val="24"/>
        </w:rPr>
        <w:t xml:space="preserve">the fee’s ‘project capacity in MW’ input is grid connection capacity. We haven’t found equally explicit confirmation that Table 4’s capex-per-MW figures use the same basis — though we think it likely, since both derive from the same NESO/DNO information-re</w:t>
      </w:r>
      <w:r>
        <w:rPr>
          <w:rFonts w:asciiTheme="minorHAnsi" w:hAnsiTheme="minorHAnsi" w:eastAsiaTheme="minorEastAsia"/>
          <w:sz w:val="24"/>
          <w:szCs w:val="24"/>
        </w:rPr>
        <w:t xml:space="preserve">quest process. If Table 4’s denominator is IT load rather than grid connection capacity, the percentages above would overstate the fee’s proportionality slightly. We recommend Ofgem confirm this basis explicitly, alongside its own proportionality analysis.</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A data centre’s IT load is typically well below its grid connection capacity, the gap driven by PUE and cooling/facility overhead, so even a partial basis mismatch could move the proportionality percentages materially, not just marginal</w:t>
      </w:r>
      <w:r>
        <w:rPr>
          <w:rFonts w:asciiTheme="minorHAnsi" w:hAnsiTheme="minorHAnsi" w:eastAsiaTheme="minorEastAsia"/>
          <w:sz w:val="24"/>
          <w:szCs w:val="24"/>
        </w:rPr>
        <w:t xml:space="preserve">ly. We don’t have a verified, site-specific PUE figure robust enough across our own evidence base to compute that alternative range ourselves. We’d encourage Ofgem to publish its own sensitivity range under both possible bases, rather than leave this open.</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There’s a second proportionality problem th</w:t>
      </w:r>
      <w:r>
        <w:rPr>
          <w:rFonts w:asciiTheme="minorHAnsi" w:hAnsiTheme="minorHAnsi" w:eastAsiaTheme="minorEastAsia"/>
          <w:sz w:val="24"/>
          <w:szCs w:val="24"/>
        </w:rPr>
        <w:t xml:space="preserve">e capex-ratio analysis above can’t see: what the fee is actually charged against. It’s levied on secured MW of capacity, but the best UK-specific evidence available says secured capacity and actual drawn capacity are two different things, by a wide margin.</w:t>
      </w:r>
      <w:r>
        <w:rPr>
          <w:rFonts w:asciiTheme="minorHAnsi" w:hAnsiTheme="minorHAnsi" w:eastAsiaTheme="minorEastAsia"/>
          <w:sz w:val="24"/>
          <w:szCs w:val="24"/>
        </w:rPr>
      </w:r>
    </w:p>
    <w:p w14:paraId="74C4E159">
      <w:pPr>
        <w:pStyle w:val="1039"/>
        <w:pBdr>
          <w:top w:val="single" w:color="000000" w:sz="8" w:space="0"/>
          <w:left w:val="single" w:color="000000" w:sz="8" w:space="0"/>
          <w:bottom w:val="single" w:color="000000" w:sz="8" w:space="0"/>
          <w:right w:val="single" w:color="000000" w:sz="8" w:space="3"/>
        </w:pBdr>
        <w:spacing/>
        <w:ind w:left="785"/>
        <w:rPr>
          <w:rFonts w:asciiTheme="minorHAnsi" w:hAnsiTheme="minorHAnsi" w:eastAsiaTheme="minorEastAsia"/>
          <w:sz w:val="24"/>
          <w:szCs w:val="24"/>
        </w:rPr>
      </w:pPr>
      <w:r>
        <w:rPr>
          <w:rFonts w:asciiTheme="minorHAnsi" w:hAnsiTheme="minorHAnsi" w:eastAsiaTheme="minorEastAsia"/>
          <w:sz w:val="24"/>
          <w:szCs w:val="24"/>
          <w:highlight w:val="none"/>
        </w:rPr>
      </w:r>
      <w:r>
        <w:rPr>
          <w:rFonts w:asciiTheme="minorHAnsi" w:hAnsiTheme="minorHAnsi" w:eastAsiaTheme="minorEastAsia"/>
          <w:sz w:val="24"/>
          <w:szCs w:val="24"/>
          <w:highlight w:val="none"/>
        </w:rPr>
      </w:r>
      <w:r>
        <w:rPr>
          <w:rFonts w:asciiTheme="minorHAnsi" w:hAnsiTheme="minorHAnsi" w:eastAsiaTheme="minorEastAsia"/>
          <w:sz w:val="24"/>
          <w:szCs w:val="24"/>
          <w:highlight w:val="none"/>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highlight w:val="none"/>
        </w:rPr>
      </w:pPr>
      <w:r>
        <w:rPr>
          <w:rFonts w:asciiTheme="minorHAnsi" w:hAnsiTheme="minorHAnsi" w:eastAsiaTheme="minorEastAsia"/>
          <w:sz w:val="24"/>
          <w:szCs w:val="24"/>
        </w:rPr>
        <w:t xml:space="preserve">We obtained and analysed UK Power Networks’ own open ‘Data Centre Demand Profiles’ dataset directly: 96 site</w:t>
      </w:r>
      <w:r>
        <w:rPr>
          <w:rFonts w:asciiTheme="minorHAnsi" w:hAnsiTheme="minorHAnsi" w:eastAsiaTheme="minorEastAsia"/>
          <w:sz w:val="24"/>
          <w:szCs w:val="24"/>
        </w:rPr>
        <w:t xml:space="preserve">s, 5.4 million half-hourly readings, January 2023–May 2026. A median site draws just 18% of its secured capacity on average, and 41% at peak. The twelve largest connections, all Extra-High Voltage, the closest proxy for the scale this fee targets, draw a m</w:t>
      </w:r>
      <w:r>
        <w:rPr>
          <w:rFonts w:asciiTheme="minorHAnsi" w:hAnsiTheme="minorHAnsi" w:eastAsiaTheme="minorEastAsia"/>
          <w:sz w:val="24"/>
          <w:szCs w:val="24"/>
        </w:rPr>
        <w:t xml:space="preserve">edian of just 7%, the lowest of any voltage tier (High Voltage sites run at 21%, Low Voltage at 12%). Contracted position overstates measured demand by roughly 5:1 on average, and better than 2:1 even at each site’s single busiest half-hour in three years.</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(Our figures corroborate, and in the voltage-tier breakdown extend, an independen</w:t>
      </w:r>
      <w:r>
        <w:rPr>
          <w:rFonts w:asciiTheme="minorHAnsi" w:hAnsiTheme="minorHAnsi" w:eastAsiaTheme="minorEastAsia"/>
          <w:sz w:val="24"/>
          <w:szCs w:val="24"/>
        </w:rPr>
        <w:t xml:space="preserve">t analysis of the same dataset published in a report for a different constituency, a freight-depot electrification proposal, which found consistent headline figures. We report our own direct analysis of the underlying open data, not that report’s figures.)</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A separate, global, vendor-neutral estimate puts stranded secured capacity industry-wide at 50–60%, the same order of magnitude. If a fee on secured MW is meant to proxy for grid impact, and secured M</w:t>
      </w:r>
      <w:r>
        <w:rPr>
          <w:rFonts w:asciiTheme="minorHAnsi" w:hAnsiTheme="minorHAnsi" w:eastAsiaTheme="minorEastAsia"/>
          <w:sz w:val="24"/>
          <w:szCs w:val="24"/>
        </w:rPr>
        <w:t xml:space="preserve">W routinely overstates that impact by a factor of two to five, more so, not less, at the Extra-High Voltage scale this fee is calibrated around, utilisation against contracted capacity deserves to be a live input into where in the range the fee should sit.</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There is a related design que</w:t>
      </w:r>
      <w:r>
        <w:rPr>
          <w:rFonts w:asciiTheme="minorHAnsi" w:hAnsiTheme="minorHAnsi" w:eastAsiaTheme="minorEastAsia"/>
          <w:sz w:val="24"/>
          <w:szCs w:val="24"/>
        </w:rPr>
        <w:t xml:space="preserve">stion beyond where the fee sits within its proposed range: whether the fee should respond to utilisation on an ongoing basis, not only at the point of connection. We set this out in full in our response on change of use and modification applications above.</w:t>
      </w:r>
      <w:r>
        <w:rPr>
          <w:rFonts w:asciiTheme="minorHAnsi" w:hAnsiTheme="minorHAnsi" w:eastAsiaTheme="minorEastAsia"/>
          <w:sz w:val="24"/>
          <w:szCs w:val="24"/>
        </w:rPr>
      </w:r>
    </w:p>
    <w:p w14:paraId="7A6E4328"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3654E5D8" w14:textId="3D9F50B5">
      <w:pPr>
        <w:pStyle w:val="1029"/>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Would a fee at the lower end of the proposed range be sufficient to deter speculative or non-viable projects?</w:t>
      </w:r>
      <w:r>
        <w:rPr>
          <w:rFonts w:asciiTheme="minorHAnsi" w:hAnsiTheme="minorHAnsi" w:eastAsiaTheme="minorEastAsia" w:cstheme="minorBidi"/>
        </w:rPr>
      </w:r>
    </w:p>
    <w:p w14:paraId="72025FB7"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601EDDEC" w14:textId="77777777">
      <w:pPr>
        <w:pStyle w:val="1047"/>
        <w:numPr>
          <w:ilvl w:val="0"/>
          <w:numId w:val="0"/>
        </w:numPr>
        <w:pBdr/>
        <w:spacing/>
        <w:ind w:left="785"/>
        <w:rPr>
          <w:rFonts w:asciiTheme="minorHAnsi" w:hAnsiTheme="minorHAnsi" w:eastAsiaTheme="minorEastAsia" w:cstheme="minorBidi"/>
        </w:rPr>
      </w:pPr>
      <w:r>
        <w:t xml:space="preserve">Not Modelled</w:t>
      </w:r>
      <w:r>
        <w:rPr>
          <w:rFonts w:asciiTheme="minorHAnsi" w:hAnsiTheme="minorHAnsi" w:eastAsiaTheme="minorEastAsia" w:cstheme="minorBidi"/>
        </w:rPr>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haven’t modelled deterrence directly. It’s a behavioural question our evidence can’</w:t>
      </w:r>
      <w:r>
        <w:rPr>
          <w:rFonts w:asciiTheme="minorHAnsi" w:hAnsiTheme="minorHAnsi" w:eastAsiaTheme="minorEastAsia"/>
          <w:sz w:val="24"/>
          <w:szCs w:val="24"/>
        </w:rPr>
        <w:t xml:space="preserve">t answer alone. But Ofgem’s own numbers describe the scale of the problem: data centre demand accounts for roughly 73GW of a demand connections queue that grew from about 41GW to 125GW in a year (Ofgem’s own consultation document, para 2.8 and Executive Su</w:t>
      </w:r>
      <w:r>
        <w:rPr>
          <w:rFonts w:asciiTheme="minorHAnsi" w:hAnsiTheme="minorHAnsi" w:eastAsiaTheme="minorEastAsia"/>
          <w:sz w:val="24"/>
          <w:szCs w:val="24"/>
        </w:rPr>
        <w:t xml:space="preserve">mmary). A separate Ofgem press release announcing this consultation cited a broader “at least 80GW” figure for the same trend; we use the consultation’s own more precise, project-level number (73GW, ~315 projects) rather than the press release’s round one.</w:t>
      </w:r>
      <w:r>
        <w:rPr>
          <w:rFonts w:asciiTheme="minorHAnsi" w:hAnsiTheme="minorHAnsi" w:eastAsiaTheme="minorEastAsia"/>
          <w:sz w:val="24"/>
          <w:szCs w:val="24"/>
        </w:rPr>
      </w:r>
    </w:p>
    <w:p w14:paraId="330A7FFF">
      <w:pPr>
        <w:pStyle w:val="1039"/>
        <w:pBdr>
          <w:top w:val="single" w:color="000000" w:sz="8" w:space="0"/>
          <w:left w:val="single" w:color="000000" w:sz="8" w:space="0"/>
          <w:bottom w:val="single" w:color="000000" w:sz="8" w:space="0"/>
          <w:right w:val="single" w:color="000000" w:sz="8" w:space="3"/>
        </w:pBdr>
        <w:spacing/>
        <w:ind w:left="785"/>
        <w:rPr>
          <w:rFonts w:asciiTheme="minorHAnsi" w:hAnsiTheme="minorHAnsi" w:eastAsiaTheme="minorEastAsia"/>
          <w:sz w:val="24"/>
          <w:szCs w:val="24"/>
        </w:rPr>
      </w:pPr>
      <w:r>
        <w:rPr>
          <w:rFonts w:asciiTheme="minorHAnsi" w:hAnsiTheme="minorHAnsi" w:eastAsiaTheme="minorEastAsia"/>
          <w:sz w:val="24"/>
          <w:szCs w:val="24"/>
          <w:highlight w:val="none"/>
        </w:rPr>
      </w:r>
      <w:r>
        <w:rPr>
          <w:rFonts w:asciiTheme="minorHAnsi" w:hAnsiTheme="minorHAnsi" w:eastAsiaTheme="minorEastAsia"/>
          <w:sz w:val="24"/>
          <w:szCs w:val="24"/>
          <w:highlight w:val="none"/>
        </w:rPr>
      </w:r>
      <w:r>
        <w:rPr>
          <w:rFonts w:asciiTheme="minorHAnsi" w:hAnsiTheme="minorHAnsi" w:eastAsiaTheme="minorEastAsia"/>
          <w:sz w:val="24"/>
          <w:szCs w:val="24"/>
          <w:highlight w:val="none"/>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highlight w:val="none"/>
        </w:rPr>
      </w:pPr>
      <w:r>
        <w:rPr>
          <w:rFonts w:asciiTheme="minorHAnsi" w:hAnsiTheme="minorHAnsi" w:eastAsiaTheme="minorEastAsia"/>
          <w:sz w:val="24"/>
          <w:szCs w:val="24"/>
        </w:rPr>
        <w:t xml:space="preserve">A queue that size plausibly holds a lot of speculative capacity, and a fee built to deter it is reasonable in principle. Ofgem’s own supporting work backs</w:t>
      </w:r>
      <w:r>
        <w:rPr>
          <w:rFonts w:asciiTheme="minorHAnsi" w:hAnsiTheme="minorHAnsi" w:eastAsiaTheme="minorEastAsia"/>
          <w:sz w:val="24"/>
          <w:szCs w:val="24"/>
        </w:rPr>
        <w:t xml:space="preserve"> this up: at the Call for Input stage, only 71 of the roughly 140 data centre projects then in the queue, around 20GW of roughly 50GW, had reached Final Investment Decision. Most of the queue, by Ofgem’s own count, hadn’t reached firm financial commitment.</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But for a data centre that can’t reach any TNUoS band-step mitigation (see our response on the 40MW threshold below), the f</w:t>
      </w:r>
      <w:r>
        <w:rPr>
          <w:rFonts w:asciiTheme="minorHAnsi" w:hAnsiTheme="minorHAnsi" w:eastAsiaTheme="minorEastAsia"/>
          <w:sz w:val="24"/>
          <w:szCs w:val="24"/>
        </w:rPr>
        <w:t xml:space="preserve">ee lands as a pure additional cost, with no offsetting flexibility value. Whether the lower end deters a speculative project may depend on whether that project sits inside or outside the ‘Dead Zone’ we describe there: a speculative developer with genuine n</w:t>
      </w:r>
      <w:r>
        <w:rPr>
          <w:rFonts w:asciiTheme="minorHAnsi" w:hAnsiTheme="minorHAnsi" w:eastAsiaTheme="minorEastAsia"/>
          <w:sz w:val="24"/>
          <w:szCs w:val="24"/>
        </w:rPr>
        <w:t xml:space="preserve">etwork-charge mitigation options faces a different calculation than one without. We’d encourage Ofgem to consider whether deterrence sufficiency should be assessed uniformly across the fee-liable population, or should account for this structural variation.</w:t>
      </w:r>
      <w:r>
        <w:rPr>
          <w:rFonts w:asciiTheme="minorHAnsi" w:hAnsiTheme="minorHAnsi" w:eastAsiaTheme="minorEastAsia"/>
          <w:sz w:val="24"/>
          <w:szCs w:val="24"/>
        </w:rPr>
      </w:r>
    </w:p>
    <w:p w14:paraId="4C79A7EE"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43DC28CE" w14:textId="4F4B9DCB">
      <w:pPr>
        <w:pStyle w:val="1029"/>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Would a fee at the upper end of the proposed range risk deterring viable, non-speculative projects?</w:t>
      </w:r>
      <w:r>
        <w:rPr>
          <w:rFonts w:asciiTheme="minorHAnsi" w:hAnsiTheme="minorHAnsi" w:eastAsiaTheme="minorEastAsia" w:cstheme="minorBidi"/>
        </w:rPr>
      </w:r>
    </w:p>
    <w:p w14:paraId="70163E93"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206B8225"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 </w:t>
      </w:r>
      <w:sdt>
        <w:sdtPr>
          <w15:appearance w15:val="boundingBox"/>
          <w:id w:val="-1123615353"/>
          <w:placeholder>
            <w:docPart w:val="AAAD345CCFBB46A7B3145431099B4FAE"/>
          </w:placeholder>
          <w:rPr>
            <w:rFonts w:asciiTheme="minorHAnsi" w:hAnsiTheme="minorHAnsi" w:eastAsiaTheme="minorEastAsia" w:cstheme="minorBidi"/>
          </w:rPr>
        </w:sdtPr>
        <w:sdtContent>
          <w:r>
            <w:rPr>
              <w:rFonts w:asciiTheme="minorHAnsi" w:hAnsiTheme="minorHAnsi" w:eastAsiaTheme="minorEastAsia" w:cstheme="minorBidi"/>
            </w:rPr>
            <w:t xml:space="preserve">Possibly, for a subset of projects (see response)</w:t>
          </w:r>
        </w:sdtContent>
      </w:sdt>
      <w:r>
        <w:rPr>
          <w:rFonts w:asciiTheme="minorHAnsi" w:hAnsiTheme="minorHAnsi" w:eastAsiaTheme="minorEastAsia" w:cstheme="minorBidi"/>
        </w:rPr>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Possibly, for a specific subset of viable projects. Our evidence (see our response on the 40MW threshold below) shows the TNUoS band-step ‘Dead Zone’</w:t>
      </w:r>
      <w:r>
        <w:rPr>
          <w:rFonts w:asciiTheme="minorHAnsi" w:hAnsiTheme="minorHAnsi" w:eastAsiaTheme="minorEastAsia"/>
          <w:sz w:val="24"/>
          <w:szCs w:val="24"/>
        </w:rPr>
        <w:t xml:space="preserve"> we identify at 5MW also applies, in closely comparable proportional terms, at 40MW+. A viable, non-speculative project sitting at or near the 40MW threshold may face the fee’s upper end with no network-charge mitigation available to offset it, unlike a pr</w:t>
      </w:r>
      <w:r>
        <w:rPr>
          <w:rFonts w:asciiTheme="minorHAnsi" w:hAnsiTheme="minorHAnsi" w:eastAsiaTheme="minorEastAsia"/>
          <w:sz w:val="24"/>
          <w:szCs w:val="24"/>
        </w:rPr>
        <w:t xml:space="preserve">oject sized differently relative to a band boundary. We recommend Ofgem test whether the upper end disproportionately affects viable projects specifically in this position, rather than assuming network-charge flexibility scales uniformly with project size.</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A separate, complementary concern is developer scale, not project viability as such. Frontier Economics has observed that the proposed fee “tests access to a large balance sheet as much as the quality of the underly</w:t>
      </w:r>
      <w:r>
        <w:rPr>
          <w:rFonts w:asciiTheme="minorHAnsi" w:hAnsiTheme="minorHAnsi" w:eastAsiaTheme="minorEastAsia"/>
          <w:sz w:val="24"/>
          <w:szCs w:val="24"/>
        </w:rPr>
        <w:t xml:space="preserve">ing project,” since a developer may need to accept a connection offer and carry substantial contingent exposure years before a hyperscale customer actually commits. Nick Curum, writing on these proposals, makes the same point concretely: “A hyperscaler can</w:t>
      </w:r>
      <w:r>
        <w:rPr>
          <w:rFonts w:asciiTheme="minorHAnsi" w:hAnsiTheme="minorHAnsi" w:eastAsiaTheme="minorEastAsia"/>
          <w:sz w:val="24"/>
          <w:szCs w:val="24"/>
        </w:rPr>
        <w:t xml:space="preserve"> carry 7.5%. A 20 MW independent cannot.” To make that concrete: at the fee’s own proposed range, a 50MW developer would need to secure £11.8 million to £35.6 million in escrow or letters of credit, held from offer acceptance through to energisation, a per</w:t>
      </w:r>
      <w:r>
        <w:rPr>
          <w:rFonts w:asciiTheme="minorHAnsi" w:hAnsiTheme="minorHAnsi" w:eastAsiaTheme="minorEastAsia"/>
          <w:sz w:val="24"/>
          <w:szCs w:val="24"/>
        </w:rPr>
        <w:t xml:space="preserve">iod that can run to a decade given transmission lead times. That is a rounding error against a hyperscale balance sheet. For a smaller developer, it is capital that could otherwise finance the project itself. We haven’t independently modelled this effect, </w:t>
      </w:r>
      <w:r>
        <w:rPr>
          <w:rFonts w:asciiTheme="minorHAnsi" w:hAnsiTheme="minorHAnsi" w:eastAsiaTheme="minorEastAsia"/>
          <w:sz w:val="24"/>
          <w:szCs w:val="24"/>
        </w:rPr>
        <w:t xml:space="preserve">but it’s consistent with our own evidence in kind: a flat percentage fee measures scale, not intent. A viable smaller project sitting at the fee’s upper end may face a materially harder test of financial capacity than an equally speculative but larger one.</w:t>
      </w:r>
      <w:r>
        <w:rPr>
          <w:rFonts w:asciiTheme="minorHAnsi" w:hAnsiTheme="minorHAnsi" w:eastAsiaTheme="minorEastAsia"/>
          <w:sz w:val="24"/>
          <w:szCs w:val="24"/>
        </w:rPr>
      </w:r>
    </w:p>
    <w:p w14:paraId="7767A10A"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E4CC0C2">
      <w:pPr>
        <w:pBdr/>
        <w:shd w:val="nil" w:color="auto"/>
        <w:spacing/>
        <w:ind/>
        <w:rPr>
          <w:rFonts w:asciiTheme="minorHAnsi" w:hAnsiTheme="minorHAnsi" w:eastAsiaTheme="minorEastAsia" w:cstheme="minorBidi"/>
        </w:rPr>
      </w:pPr>
      <w:r>
        <w:rPr>
          <w:rFonts w:asciiTheme="minorHAnsi" w:hAnsiTheme="minorHAnsi" w:eastAsiaTheme="minorEastAsia" w:cstheme="minorBidi"/>
          <w:highlight w:val="none"/>
        </w:rPr>
      </w:r>
      <w:r>
        <w:rPr>
          <w:rFonts w:asciiTheme="minorHAnsi" w:hAnsiTheme="minorHAnsi" w:eastAsiaTheme="minorEastAsia" w:cstheme="minorBidi"/>
        </w:rPr>
      </w:r>
    </w:p>
    <w:p w14:paraId="61B5C197" w14:textId="2A50143B">
      <w:pPr>
        <w:pStyle w:val="1029"/>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Do you agree with our assumptions</w:t>
      </w:r>
      <w:r>
        <w:rPr>
          <w:rFonts w:ascii="Arial" w:hAnsi="Arial" w:cs="Arial" w:eastAsiaTheme="minorEastAsia"/>
        </w:rPr>
        <w:t xml:space="preserve"> </w:t>
      </w:r>
      <w:r>
        <w:rPr>
          <w:rFonts w:asciiTheme="minorHAnsi" w:hAnsiTheme="minorHAnsi" w:eastAsiaTheme="minorEastAsia" w:cstheme="minorBidi"/>
        </w:rPr>
        <w:t xml:space="preserve">that projects that are</w:t>
      </w:r>
      <w:r>
        <w:rPr>
          <w:rFonts w:ascii="Arial" w:hAnsi="Arial" w:cs="Arial" w:eastAsiaTheme="minorEastAsia"/>
        </w:rPr>
        <w:t xml:space="preserve"> </w:t>
      </w:r>
      <w:r>
        <w:rPr>
          <w:rFonts w:asciiTheme="minorHAnsi" w:hAnsiTheme="minorHAnsi" w:eastAsiaTheme="minorEastAsia" w:cstheme="minorBidi"/>
        </w:rPr>
        <w:t xml:space="preserve">speculative/non-viable</w:t>
      </w:r>
      <w:r>
        <w:rPr>
          <w:rFonts w:ascii="Arial" w:hAnsi="Arial" w:cs="Arial" w:eastAsiaTheme="minorEastAsia"/>
        </w:rPr>
        <w:t xml:space="preserve"> </w:t>
      </w:r>
      <w:r>
        <w:rPr>
          <w:rFonts w:asciiTheme="minorHAnsi" w:hAnsiTheme="minorHAnsi" w:eastAsiaTheme="minorEastAsia" w:cstheme="minorBidi"/>
        </w:rPr>
        <w:t xml:space="preserve">at point of</w:t>
      </w:r>
      <w:r>
        <w:rPr>
          <w:rFonts w:ascii="Arial" w:hAnsi="Arial" w:cs="Arial" w:eastAsiaTheme="minorEastAsia"/>
        </w:rPr>
        <w:t xml:space="preserve"> </w:t>
      </w:r>
      <w:r>
        <w:rPr>
          <w:rFonts w:asciiTheme="minorHAnsi" w:hAnsiTheme="minorHAnsi" w:eastAsiaTheme="minorEastAsia" w:cstheme="minorBidi"/>
        </w:rPr>
        <w:t xml:space="preserve">application (or</w:t>
      </w:r>
      <w:r>
        <w:rPr>
          <w:rFonts w:ascii="Arial" w:hAnsi="Arial" w:cs="Arial" w:eastAsiaTheme="minorEastAsia"/>
        </w:rPr>
        <w:t xml:space="preserve"> </w:t>
      </w:r>
      <w:r>
        <w:rPr>
          <w:rFonts w:asciiTheme="minorHAnsi" w:hAnsiTheme="minorHAnsi" w:eastAsiaTheme="minorEastAsia" w:cstheme="minorBidi"/>
        </w:rPr>
        <w:t xml:space="preserve">already in the queue)</w:t>
      </w:r>
      <w:r>
        <w:rPr>
          <w:rFonts w:ascii="Arial" w:hAnsi="Arial" w:cs="Arial" w:eastAsiaTheme="minorEastAsia"/>
        </w:rPr>
        <w:t xml:space="preserve"> </w:t>
      </w:r>
      <w:r>
        <w:rPr>
          <w:rFonts w:asciiTheme="minorHAnsi" w:hAnsiTheme="minorHAnsi" w:eastAsiaTheme="minorEastAsia" w:cstheme="minorBidi"/>
        </w:rPr>
        <w:t xml:space="preserve">will</w:t>
      </w:r>
      <w:r>
        <w:rPr>
          <w:rFonts w:ascii="Arial" w:hAnsi="Arial" w:cs="Arial" w:eastAsiaTheme="minorEastAsia"/>
        </w:rPr>
        <w:t xml:space="preserve"> </w:t>
      </w:r>
      <w:r>
        <w:rPr>
          <w:rFonts w:asciiTheme="minorHAnsi" w:hAnsiTheme="minorHAnsi" w:eastAsiaTheme="minorEastAsia" w:cstheme="minorBidi"/>
        </w:rPr>
        <w:t xml:space="preserve">not</w:t>
      </w:r>
      <w:r>
        <w:rPr>
          <w:rFonts w:ascii="Arial" w:hAnsi="Arial" w:cs="Arial" w:eastAsiaTheme="minorEastAsia"/>
        </w:rPr>
        <w:t xml:space="preserve"> </w:t>
      </w:r>
      <w:r>
        <w:rPr>
          <w:rFonts w:asciiTheme="minorHAnsi" w:hAnsiTheme="minorHAnsi" w:eastAsiaTheme="minorEastAsia" w:cstheme="minorBidi"/>
        </w:rPr>
        <w:t xml:space="preserve">be able</w:t>
      </w:r>
      <w:r>
        <w:rPr>
          <w:rFonts w:ascii="Arial" w:hAnsi="Arial" w:cs="Arial" w:eastAsiaTheme="minorEastAsia"/>
        </w:rPr>
        <w:t xml:space="preserve"> </w:t>
      </w:r>
      <w:r>
        <w:rPr>
          <w:rFonts w:asciiTheme="minorHAnsi" w:hAnsiTheme="minorHAnsi" w:eastAsiaTheme="minorEastAsia" w:cstheme="minorBidi"/>
        </w:rPr>
        <w:t xml:space="preserve">to</w:t>
      </w:r>
      <w:r>
        <w:rPr>
          <w:rFonts w:ascii="Arial" w:hAnsi="Arial" w:cs="Arial" w:eastAsiaTheme="minorEastAsia"/>
        </w:rPr>
        <w:t xml:space="preserve"> </w:t>
      </w:r>
      <w:r>
        <w:rPr>
          <w:rFonts w:asciiTheme="minorHAnsi" w:hAnsiTheme="minorHAnsi" w:eastAsiaTheme="minorEastAsia" w:cstheme="minorBidi"/>
        </w:rPr>
        <w:t xml:space="preserve">secure such a</w:t>
      </w:r>
      <w:r>
        <w:rPr>
          <w:rFonts w:ascii="Arial" w:hAnsi="Arial" w:cs="Arial" w:eastAsiaTheme="minorEastAsia"/>
        </w:rPr>
        <w:t xml:space="preserve"> </w:t>
      </w:r>
      <w:r>
        <w:rPr>
          <w:rFonts w:asciiTheme="minorHAnsi" w:hAnsiTheme="minorHAnsi" w:eastAsiaTheme="minorEastAsia" w:cstheme="minorBidi"/>
        </w:rPr>
        <w:t xml:space="preserve">fee based on any of the selected range?</w:t>
      </w:r>
      <w:r>
        <w:rPr>
          <w:rFonts w:asciiTheme="minorHAnsi" w:hAnsiTheme="minorHAnsi" w:eastAsiaTheme="minorEastAsia" w:cstheme="minorBidi"/>
        </w:rPr>
      </w:r>
    </w:p>
    <w:p w14:paraId="14D0AE1A"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24B3D2AB"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 with a caveat (see response)</w:t>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agree in principle. A fee set within the proposed range should be a genuine barrier to purely speculative applications.</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But the assumption may not hold for every non-speculative project. A viable project can over-book capacity for legitimate reasons , </w:t>
      </w:r>
      <w:r>
        <w:rPr>
          <w:rFonts w:asciiTheme="minorHAnsi" w:hAnsiTheme="minorHAnsi" w:eastAsiaTheme="minorEastAsia"/>
          <w:sz w:val="24"/>
          <w:szCs w:val="24"/>
        </w:rPr>
        <w:t xml:space="preserve">2N or N+1 redundancy, a phased build-out plan, and pay the fee on that larger, secured figure regardless. Our utilisation evidence (response on the proposed fee range above) shows this is not a fringe case: a median site draws only 18% of secured capacity.</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If the fee is meant to screen out speculative intent, not simply large secured capacity, it needs a way to tell these two cases apart. We don’t have evidence on how to draw that line. We flag it as a risk in the current design.</w:t>
      </w:r>
      <w:r>
        <w:rPr>
          <w:rFonts w:asciiTheme="minorHAnsi" w:hAnsiTheme="minorHAnsi" w:eastAsiaTheme="minorEastAsia"/>
          <w:sz w:val="24"/>
          <w:szCs w:val="24"/>
        </w:rPr>
      </w:r>
    </w:p>
    <w:p w14:paraId="6E9AEEB4"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37E4B223" w14:textId="0B66C1E0">
      <w:pPr>
        <w:pStyle w:val="1029"/>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If you disagree with Question 10, what assumptions can be improved and how? Please suggest what additional data Ofgem would need to make an informed decision.</w:t>
      </w:r>
      <w:r>
        <w:rPr>
          <w:rFonts w:asciiTheme="minorHAnsi" w:hAnsiTheme="minorHAnsi" w:eastAsiaTheme="minorEastAsia" w:cstheme="minorBidi"/>
        </w:rPr>
      </w:r>
    </w:p>
    <w:p w14:paraId="5B92BAAF"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79026941"/>
          <w:placeholder>
            <w:docPart w:val="F28D4C5395084C118724A2A2631BFEB0"/>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2710C0D7"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48C2B5D9"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957F06C" w14:textId="3FF6FE46">
      <w:pPr>
        <w:pStyle w:val="1029"/>
        <w:pBdr/>
        <w:spacing/>
        <w:ind/>
        <w:rPr>
          <w:rFonts w:asciiTheme="minorHAnsi" w:hAnsiTheme="minorHAnsi" w:eastAsiaTheme="minorEastAsia" w:cstheme="minorBidi"/>
        </w:rPr>
      </w:pPr>
      <w:r>
        <w:rPr>
          <w:rFonts w:asciiTheme="minorHAnsi" w:hAnsiTheme="minorHAnsi" w:eastAsiaTheme="minorEastAsia" w:cstheme="minorBidi"/>
        </w:rPr>
        <w:t xml:space="preserve">Do you agree that the commitment fee should apply only to data centre projects equal to or above 40 MW that connect to the transmission system or have a transmission impact?</w:t>
      </w:r>
      <w:r>
        <w:rPr>
          <w:rFonts w:asciiTheme="minorHAnsi" w:hAnsiTheme="minorHAnsi" w:eastAsiaTheme="minorEastAsia" w:cstheme="minorBidi"/>
        </w:rPr>
      </w:r>
    </w:p>
    <w:p w14:paraId="0DAF1A48"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118FF4BB"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85801131"/>
          <w:placeholder>
            <w:docPart w:val="5B556A9DCD014349A0507BC69EF994A9"/>
          </w:placeholder>
          <w:rPr>
            <w:rFonts w:asciiTheme="minorHAnsi" w:hAnsiTheme="minorHAnsi" w:eastAsiaTheme="minorEastAsia" w:cstheme="minorBidi"/>
          </w:rPr>
        </w:sdtPr>
        <w:sdtContent>
          <w:r>
            <w:rPr>
              <w:rFonts w:asciiTheme="minorHAnsi" w:hAnsiTheme="minorHAnsi" w:eastAsiaTheme="minorEastAsia" w:cstheme="minorBidi"/>
            </w:rPr>
            <w:t xml:space="preserve">No view (see response)</w:t>
          </w:r>
        </w:sdtContent>
      </w:sdt>
      <w:r>
        <w:rPr>
          <w:rFonts w:asciiTheme="minorHAnsi" w:hAnsiTheme="minorHAnsi" w:eastAsiaTheme="minorEastAsia" w:cstheme="minorBidi"/>
        </w:rPr>
      </w:r>
      <w:r>
        <w:rPr>
          <w:rFonts w:asciiTheme="minorHAnsi" w:hAnsiTheme="minorHAnsi" w:eastAsiaTheme="minorEastAsia" w:cstheme="minorBidi"/>
        </w:rPr>
      </w:r>
    </w:p>
    <w:p w14:paraId="5AAC62BA"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w:t>
      </w:r>
      <w:r>
        <w:rPr>
          <w:rFonts w:asciiTheme="minorHAnsi" w:hAnsiTheme="minorHAnsi" w:eastAsiaTheme="minorEastAsia"/>
          <w:sz w:val="24"/>
          <w:szCs w:val="24"/>
        </w:rPr>
        <w:t xml:space="preserve">do not have independent evidence on the transmission-connection/transmission-impact scoping element of this question and offer no view on it. Our evidence relates to the 40MW capacity threshold itself, addressed in our response on the 40MW threshold below.</w:t>
      </w:r>
      <w:r>
        <w:rPr>
          <w:rFonts w:asciiTheme="minorHAnsi" w:hAnsiTheme="minorHAnsi" w:eastAsiaTheme="minorEastAsia"/>
          <w:sz w:val="24"/>
          <w:szCs w:val="24"/>
        </w:rPr>
      </w:r>
    </w:p>
    <w:p w14:paraId="22546DA3"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60CEE505" w14:textId="7208427A">
      <w:pPr>
        <w:pStyle w:val="1029"/>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Is 40 MW the appropriate threshold for determining applicability? If not, what threshold should be used and why?</w:t>
      </w:r>
      <w:r>
        <w:rPr>
          <w:rFonts w:asciiTheme="minorHAnsi" w:hAnsiTheme="minorHAnsi" w:eastAsiaTheme="minorEastAsia" w:cstheme="minorBidi"/>
        </w:rPr>
      </w:r>
    </w:p>
    <w:p w14:paraId="7C34E613"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924094492"/>
          <w:placeholder>
            <w:docPart w:val="3D65D348C52B404992EC4421CBAE518E"/>
          </w:placeholder>
          <w:rPr>
            <w:rFonts w:asciiTheme="minorHAnsi" w:hAnsiTheme="minorHAnsi" w:eastAsiaTheme="minorEastAsia" w:cstheme="minorBidi"/>
          </w:rPr>
        </w:sdtPr>
        <w:sdtContent>
          <w:r>
            <w:rPr>
              <w:rFonts w:asciiTheme="minorHAnsi" w:hAnsiTheme="minorHAnsi" w:eastAsiaTheme="minorEastAsia" w:cstheme="minorBidi"/>
            </w:rPr>
            <w:t xml:space="preserve">We do not propose an alternative (see response)</w:t>
          </w:r>
        </w:sdtContent>
      </w:sdt>
      <w:r>
        <w:rPr>
          <w:rFonts w:asciiTheme="minorHAnsi" w:hAnsiTheme="minorHAnsi" w:eastAsiaTheme="minorEastAsia" w:cstheme="minorBidi"/>
        </w:rPr>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We’d recommend Ofgem examine this question through the lens of network-charge mitigation access, not capacity or connection type alone. Our evidence suggests the answer may not vary with size as much as a single threshold assumes.</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tested whether a data centre can reach the TNUoS non-locational demand residual’s band-step mechanism, a structural cut in network charges, available only by cutting a site’s own contracted capacity into a lower tariff band, at two very differen</w:t>
      </w:r>
      <w:r>
        <w:rPr>
          <w:rFonts w:asciiTheme="minorHAnsi" w:hAnsiTheme="minorHAnsi" w:eastAsiaTheme="minorEastAsia"/>
          <w:sz w:val="24"/>
          <w:szCs w:val="24"/>
        </w:rPr>
        <w:t xml:space="preserve">t scales. We used band day-rates from NESO’s Final TNUoS Tariffs for 2026/27 (Table 10) and band capacity thresholds read directly from NESO’s own published Table TB, not estimated: the HV3/HV4 boundary at 2,000kVA, and the EHV3/EHV4 boundary at 20,000kVA.</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At 5MW (HV-connected), a representative inference site’s own minimum load sits 52.5% above the ceiling of the next lower band, HV</w:t>
      </w:r>
      <w:r>
        <w:rPr>
          <w:rFonts w:asciiTheme="minorHAnsi" w:hAnsiTheme="minorHAnsi" w:eastAsiaTheme="minorEastAsia"/>
          <w:sz w:val="24"/>
          <w:szCs w:val="24"/>
        </w:rPr>
        <w:t xml:space="preserve">3. That minimum load isn’t discretionary idling a site could switch off,  it reflects continuous, demand-driven baseline operation. Major AI accelerator hardware draws roughly 20% of thermal design power even at idle (US Data Center Energy Usage Report, 20</w:t>
      </w:r>
      <w:r>
        <w:rPr>
          <w:rFonts w:asciiTheme="minorHAnsi" w:hAnsiTheme="minorHAnsi" w:eastAsiaTheme="minorEastAsia"/>
          <w:sz w:val="24"/>
          <w:szCs w:val="24"/>
        </w:rPr>
        <w:t xml:space="preserve">24), and cooling/facility infrastructure carries its own baseload independent of IT demand. There’s no straightforward operational lever to shed enough load to reach the lower band, it would take a step change in how the site is run, not a few quiet hours.</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At 40MW (assumed EHV-connected, checked against DataVita DV1, a real Lanarkshire site), the same wall reappears against the EHV3 boundary. The site would need to cut its contracted capacity by 52.5% f</w:t>
      </w:r>
      <w:r>
        <w:rPr>
          <w:rFonts w:asciiTheme="minorHAnsi" w:hAnsiTheme="minorHAnsi" w:eastAsiaTheme="minorEastAsia"/>
          <w:sz w:val="24"/>
          <w:szCs w:val="24"/>
        </w:rPr>
        <w:t xml:space="preserve">rom its 40MW target to reach the next lower band — 42,105kVA (40MW at our standard 0.95 power-factor assumption, consistent with the rest of this response) against EHV3’s 20,000kVA ceiling, equivalently a 19.0MW real-power ceiling at the same power factor.</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flag DataVita DV1’s assumed EHV connection at 40MW as an assumption, not a confirmed fact. Public project documentation (Wallace Whittle, an M&amp;E consultancy credited on the DV1</w:t>
      </w:r>
      <w:r>
        <w:rPr>
          <w:rFonts w:asciiTheme="minorHAnsi" w:hAnsiTheme="minorHAnsi" w:eastAsiaTheme="minorEastAsia"/>
          <w:sz w:val="24"/>
          <w:szCs w:val="24"/>
        </w:rPr>
        <w:t xml:space="preserve"> scheme) describes the site’s existing, smaller capacity as delivered via 11kV feeds. We infer,  without independent confirmation, that reaching 40MW would require a new, higher-voltage connection, since 11kV circuits aren’t built to carry loads this size.</w:t>
      </w:r>
      <w:r>
        <w:rPr>
          <w:rFonts w:asciiTheme="minorHAnsi" w:hAnsiTheme="minorHAnsi" w:eastAsiaTheme="minorEastAsia"/>
          <w:sz w:val="24"/>
          <w:szCs w:val="24"/>
        </w:rPr>
      </w:r>
    </w:p>
    <w:p w14:paraId="6CA086A7">
      <w:pPr>
        <w:pBdr/>
        <w:shd w:val="nil" w:color="auto"/>
        <w:spacing/>
        <w:ind/>
        <w:rPr>
          <w:rFonts w:asciiTheme="minorHAnsi" w:hAnsiTheme="minorHAnsi" w:eastAsiaTheme="minorEastAsia"/>
          <w:sz w:val="24"/>
          <w:szCs w:val="24"/>
        </w:rPr>
      </w:pPr>
      <w:r>
        <w:rPr>
          <w:rFonts w:asciiTheme="minorHAnsi" w:hAnsiTheme="minorHAnsi" w:eastAsiaTheme="minorEastAsia"/>
          <w:sz w:val="24"/>
          <w:szCs w:val="24"/>
          <w:highlight w:val="none"/>
        </w:rPr>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highlight w:val="none"/>
        </w:rPr>
      </w:pPr>
      <w:r>
        <w:rPr>
          <w:rFonts w:asciiTheme="minorHAnsi" w:hAnsiTheme="minorHAnsi" w:eastAsiaTheme="minorEastAsia"/>
          <w:sz w:val="24"/>
          <w:szCs w:val="24"/>
        </w:rPr>
        <w:t xml:space="preserve">We c</w:t>
      </w:r>
      <w:r>
        <w:rPr>
          <w:rFonts w:asciiTheme="minorHAnsi" w:hAnsiTheme="minorHAnsi" w:eastAsiaTheme="minorEastAsia"/>
          <w:sz w:val="24"/>
          <w:szCs w:val="24"/>
        </w:rPr>
        <w:t xml:space="preserve">hecked the alternative directly. If DV1 sits in the top HV band rather than EHV4 at 40MW, the required cut to reach the next lower band would be larger, not smaller: approximately 95% (40MW against HV3’s 2,000kVA ceiling, equivalently a 1.9MW real-power ce</w:t>
      </w:r>
      <w:r>
        <w:rPr>
          <w:rFonts w:asciiTheme="minorHAnsi" w:hAnsiTheme="minorHAnsi" w:eastAsiaTheme="minorEastAsia"/>
          <w:sz w:val="24"/>
          <w:szCs w:val="24"/>
        </w:rPr>
        <w:t xml:space="preserve">iling at the same 0.95 power-factor assumption). So the qualitative finding — that the band-step mechanism is structurally out of reach at this size — holds regardless of which tier DV1 is actually in, even though the specific 52.5% figure is EHV-specific.</w:t>
      </w:r>
      <w:r>
        <w:rPr>
          <w:rFonts w:asciiTheme="minorHAnsi" w:hAnsiTheme="minorHAnsi" w:eastAsiaTheme="minorEastAsia"/>
          <w:sz w:val="24"/>
          <w:szCs w:val="24"/>
          <w:highlight w:val="none"/>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Subject to that assumption, the result is consistent across two very differently sized sites: TNUoS band-stepping doesn’t become a more available mitigation route as a project gets larger, within the range we tested. If that holds more general</w:t>
      </w:r>
      <w:r>
        <w:rPr>
          <w:rFonts w:asciiTheme="minorHAnsi" w:hAnsiTheme="minorHAnsi" w:eastAsiaTheme="minorEastAsia"/>
          <w:sz w:val="24"/>
          <w:szCs w:val="24"/>
        </w:rPr>
        <w:t xml:space="preserve">ly, a single capacity threshold for the commitment fee may not track a meaningful difference in a project’s ability to offset the fee through network-charge management. A 40MW threshold and a materially lower one could both sit inside the same ‘Dead Zone.’</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deliberately stop short of proposing a specific alternative threshold, and want to be explicit about why. Our own evidence at intermediate site sizes — the tens-of-MW range between our 5MW and 40MW check points — is ill</w:t>
      </w:r>
      <w:r>
        <w:rPr>
          <w:rFonts w:asciiTheme="minorHAnsi" w:hAnsiTheme="minorHAnsi" w:eastAsiaTheme="minorEastAsia"/>
          <w:sz w:val="24"/>
          <w:szCs w:val="24"/>
        </w:rPr>
        <w:t xml:space="preserve">ustrative only, not grounded to the same standard as the two figures above. We don’t think it’s sound practice to propose a specific number to replace 40MW on the strength of two data points and an unconfirmed connection-voltage assumption. We recommend Of</w:t>
      </w:r>
      <w:r>
        <w:rPr>
          <w:rFonts w:asciiTheme="minorHAnsi" w:hAnsiTheme="minorHAnsi" w:eastAsiaTheme="minorEastAsia"/>
          <w:sz w:val="24"/>
          <w:szCs w:val="24"/>
        </w:rPr>
        <w:t xml:space="preserve">gem test band-step accessibility across a wider range of representative site sizes before relying on a single MW threshold as a proxy for a project’s cost-mitigation capacity. That further testing — not a substitute number from us — is the right next step.</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Separately, the utilisation evidence in our response on the proposed fee range above bears on where any MW-based threshold should sit — it suggests MW of secured capacity is a noisy proxy for actual grid impact at an</w:t>
      </w:r>
      <w:r>
        <w:rPr>
          <w:rFonts w:asciiTheme="minorHAnsi" w:hAnsiTheme="minorHAnsi" w:eastAsiaTheme="minorEastAsia"/>
          <w:sz w:val="24"/>
          <w:szCs w:val="24"/>
        </w:rPr>
        <w:t xml:space="preserve">y scale we have evidence for. A 40MW-secured site typically draws only a fraction of that in practice, and the largest connections in the UK Power Networks dataset cited above draw a median of just 7% of contracted capacity. A threshold defined purely in s</w:t>
      </w:r>
      <w:r>
        <w:rPr>
          <w:rFonts w:asciiTheme="minorHAnsi" w:hAnsiTheme="minorHAnsi" w:eastAsiaTheme="minorEastAsia"/>
          <w:sz w:val="24"/>
          <w:szCs w:val="24"/>
        </w:rPr>
        <w:t xml:space="preserve">ecured MW risks catching sites whose real grid footprint is much smaller than the threshold implies, while a site drawing at scale but structured to stay just under the line escapes it entirely. We’d suggest Ofgem test whether a threshold combined with, or</w:t>
      </w:r>
      <w:r>
        <w:rPr>
          <w:rFonts w:asciiTheme="minorHAnsi" w:hAnsiTheme="minorHAnsi" w:eastAsiaTheme="minorEastAsia"/>
          <w:sz w:val="24"/>
          <w:szCs w:val="24"/>
        </w:rPr>
        <w:t xml:space="preserve"> partly defined by, a utilisation or minimum-load commitment would better target the fee at its stated objective than a bare MW figure alone — recognising that raises its own measurement and verification questions beyond what our evidence here can resolve.</w:t>
      </w:r>
      <w:r>
        <w:rPr>
          <w:rFonts w:asciiTheme="minorHAnsi" w:hAnsiTheme="minorHAnsi" w:eastAsiaTheme="minorEastAsia"/>
          <w:sz w:val="24"/>
          <w:szCs w:val="24"/>
        </w:rPr>
      </w:r>
    </w:p>
    <w:p w14:paraId="180C2492">
      <w:pPr>
        <w:pBdr/>
        <w:shd w:val="nil"/>
        <w:spacing/>
        <w:ind/>
        <w:rPr>
          <w:rFonts w:asciiTheme="minorHAnsi" w:hAnsiTheme="minorHAnsi" w:eastAsiaTheme="minorEastAsia"/>
          <w:sz w:val="24"/>
          <w:szCs w:val="24"/>
        </w:rPr>
      </w:pPr>
      <w:r>
        <w:rPr>
          <w:rFonts w:asciiTheme="minorHAnsi" w:hAnsiTheme="minorHAnsi" w:eastAsiaTheme="minorEastAsia"/>
          <w:sz w:val="24"/>
          <w:szCs w:val="24"/>
          <w:highlight w:val="none"/>
        </w:rPr>
        <w:br w:type="page" w:clear="all"/>
      </w:r>
      <w:r>
        <w:rPr>
          <w:rFonts w:asciiTheme="minorHAnsi" w:hAnsiTheme="minorHAnsi" w:eastAsiaTheme="minorEastAsia"/>
          <w:sz w:val="24"/>
          <w:szCs w:val="24"/>
          <w:highlight w:val="none"/>
        </w:rPr>
      </w:r>
      <w:r>
        <w:rPr>
          <w:rFonts w:asciiTheme="minorHAnsi" w:hAnsiTheme="minorHAnsi" w:eastAsiaTheme="minorEastAsia"/>
          <w:sz w:val="24"/>
          <w:szCs w:val="24"/>
          <w:highlight w:val="none"/>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highlight w:val="none"/>
        </w:rPr>
      </w:pPr>
      <w:r>
        <w:rPr>
          <w:rFonts w:asciiTheme="minorHAnsi" w:hAnsiTheme="minorHAnsi" w:eastAsiaTheme="minorEastAsia"/>
          <w:sz w:val="24"/>
          <w:szCs w:val="24"/>
        </w:rPr>
        <w:t xml:space="preserve">We’d also flag a basis-consistency point that doesn’t depend on our own site-specific evidence. The commitment fee’s 40MW threshold is defined in grid connection capacity; the separate data </w:t>
      </w:r>
      <w:r>
        <w:rPr>
          <w:rFonts w:asciiTheme="minorHAnsi" w:hAnsiTheme="minorHAnsi" w:eastAsiaTheme="minorEastAsia"/>
          <w:sz w:val="24"/>
          <w:szCs w:val="24"/>
        </w:rPr>
        <w:t xml:space="preserve">centre queue management milestones apply at a lower threshold defined in rated IT load, 10MW. These sit in different chapters with different objectives, and we have no evidence bearing on the milestones themselves. But a project could be subject to one thr</w:t>
      </w:r>
      <w:r>
        <w:rPr>
          <w:rFonts w:asciiTheme="minorHAnsi" w:hAnsiTheme="minorHAnsi" w:eastAsiaTheme="minorEastAsia"/>
          <w:sz w:val="24"/>
          <w:szCs w:val="24"/>
        </w:rPr>
        <w:t xml:space="preserve">eshold and not the other purely as an artefact of which capacity measure is used, rather than any real difference in scale or grid impact. We’d encourage Ofgem to clarify why each mechanism uses the basis it does, and consider whether a consistently-define</w:t>
      </w:r>
      <w:r>
        <w:rPr>
          <w:rFonts w:asciiTheme="minorHAnsi" w:hAnsiTheme="minorHAnsi" w:eastAsiaTheme="minorEastAsia"/>
          <w:sz w:val="24"/>
          <w:szCs w:val="24"/>
        </w:rPr>
        <w:t xml:space="preserve">d capacity measure across both would reduce this kind of measurement-driven inconsistency. We’re not aware that the consultation has considered whether this is an intentional design choice or an incidental artefact of using two different capacity measures.</w:t>
      </w:r>
      <w:r>
        <w:rPr>
          <w:rFonts w:asciiTheme="minorHAnsi" w:hAnsiTheme="minorHAnsi" w:eastAsiaTheme="minorEastAsia"/>
          <w:sz w:val="24"/>
          <w:szCs w:val="24"/>
        </w:rPr>
      </w:r>
    </w:p>
    <w:p w14:paraId="78E916C2"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CFB2245" w14:textId="63B87661">
      <w:pPr>
        <w:pStyle w:val="1029"/>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We have used judgement to set a fee based on the impact on a hypothetical data centres IRR. Are there examples of how this fee is calculated a</w:t>
      </w:r>
      <w:r>
        <w:rPr>
          <w:rFonts w:asciiTheme="minorHAnsi" w:hAnsiTheme="minorHAnsi" w:eastAsiaTheme="minorEastAsia" w:cstheme="minorBidi"/>
        </w:rPr>
        <w:t xml:space="preserve">nd set in other jurisdictions (for example, USA, Spain, Ireland), that we could base it on to meet our objectives? Can you provide evidence that the regimes are consistent with the UK, and if not, what impact should that have on the calculation of the fee?</w:t>
      </w:r>
      <w:r>
        <w:rPr>
          <w:rFonts w:asciiTheme="minorHAnsi" w:hAnsiTheme="minorHAnsi" w:eastAsiaTheme="minorEastAsia" w:cstheme="minorBidi"/>
        </w:rPr>
      </w:r>
    </w:p>
    <w:p w14:paraId="295EA535"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2104644103"/>
          <w:placeholder>
            <w:docPart w:val="1EAE9558392E49E6B8C52B6393B7FB2E"/>
          </w:placeholder>
          <w:rPr>
            <w:rFonts w:asciiTheme="minorHAnsi" w:hAnsiTheme="minorHAnsi" w:eastAsiaTheme="minorEastAsia" w:cstheme="minorBidi"/>
          </w:rPr>
        </w:sdtPr>
        <w:sdtContent>
          <w:r>
            <w:rPr>
              <w:rFonts w:asciiTheme="minorHAnsi" w:hAnsiTheme="minorHAnsi" w:eastAsiaTheme="minorEastAsia" w:cstheme="minorBidi"/>
            </w:rPr>
            <w:t xml:space="preserve">N/A – see response</w:t>
          </w:r>
        </w:sdtContent>
      </w:sdt>
      <w:r>
        <w:rPr>
          <w:rFonts w:asciiTheme="minorHAnsi" w:hAnsiTheme="minorHAnsi" w:eastAsiaTheme="minorEastAsia" w:cstheme="minorBidi"/>
        </w:rPr>
      </w:r>
      <w:r>
        <w:rPr>
          <w:rFonts w:asciiTheme="minorHAnsi" w:hAnsiTheme="minorHAnsi" w:eastAsiaTheme="minorEastAsia" w:cstheme="minorBidi"/>
        </w:rPr>
      </w:r>
    </w:p>
    <w:p w14:paraId="2EF4AA90"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Ofgem’s own consultation (para 4.15) already identifies three comparators raised by other respondents to the Call for Input: €40,000/MW in Spain, $50,000/MW</w:t>
      </w:r>
      <w:r>
        <w:rPr>
          <w:rFonts w:asciiTheme="minorHAnsi" w:hAnsiTheme="minorHAnsi" w:eastAsiaTheme="minorEastAsia"/>
          <w:sz w:val="24"/>
          <w:szCs w:val="24"/>
        </w:rPr>
        <w:t xml:space="preserve"> in Texas (USA), and an “apparent” $70,000/MW in Georgia (USA), based on power reserved. Ofgem itself characterises these as “relevant but imperfect comparators,” noting Spain’s queue impact has been limited and the other two are only recently implemented.</w:t>
      </w:r>
      <w:r>
        <w:rPr>
          <w:rFonts w:asciiTheme="minorHAnsi" w:hAnsiTheme="minorHAnsi" w:eastAsiaTheme="minorEastAsia"/>
          <w:sz w:val="24"/>
          <w:szCs w:val="24"/>
        </w:rPr>
      </w:r>
    </w:p>
    <w:p w14:paraId="2EF4AA90"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do not have independent evidence on whether these regimes are consistent with the UK’s market context, and offer no view on that specific question. We would note, however, that the proposed </w:t>
      </w:r>
      <w:r>
        <w:rPr>
          <w:rFonts w:asciiTheme="minorHAnsi" w:hAnsiTheme="minorHAnsi" w:eastAsiaTheme="minorEastAsia"/>
          <w:sz w:val="24"/>
          <w:szCs w:val="24"/>
        </w:rPr>
        <w:t xml:space="preserve">UK range (£237,500–£712,500/MW) is several times higher than the highest of these three comparators even before any currency conversion, and we would encourage Ofgem to explain, in its response to this consultation, why a fee at this multiple of its own ci</w:t>
      </w:r>
      <w:r>
        <w:rPr>
          <w:rFonts w:asciiTheme="minorHAnsi" w:hAnsiTheme="minorHAnsi" w:eastAsiaTheme="minorEastAsia"/>
          <w:sz w:val="24"/>
          <w:szCs w:val="24"/>
        </w:rPr>
        <w:t xml:space="preserve">ted comparators is necessary and proportionate. The acute UK-specific queue pressure Ofgem describes elsewhere in this consultation may itself be a sufficient justification, but we think that reasoning should be stated explicitly rather than left implicit.</w:t>
      </w:r>
      <w:r>
        <w:rPr>
          <w:rFonts w:asciiTheme="minorHAnsi" w:hAnsiTheme="minorHAnsi" w:eastAsiaTheme="minorEastAsia"/>
          <w:sz w:val="24"/>
          <w:szCs w:val="24"/>
        </w:rPr>
      </w:r>
    </w:p>
    <w:p w14:paraId="7B4014A6"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2ED10AD2">
      <w:pPr>
        <w:pBdr/>
        <w:shd w:val="nil"/>
        <w:spacing/>
        <w:ind/>
        <w:rPr>
          <w:rFonts w:asciiTheme="minorHAnsi" w:hAnsiTheme="minorHAnsi" w:eastAsiaTheme="minorEastAsia" w:cstheme="minorBidi"/>
        </w:rPr>
      </w:pPr>
      <w:r>
        <w:rPr>
          <w:rFonts w:asciiTheme="minorHAnsi" w:hAnsiTheme="minorHAnsi" w:eastAsiaTheme="minorEastAsia" w:cstheme="minorBidi"/>
          <w:highlight w:val="none"/>
        </w:rPr>
        <w:br w:type="page" w:clear="all"/>
      </w:r>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741C02D3" w14:textId="661CF10A">
      <w:pPr>
        <w:pStyle w:val="1029"/>
        <w:pBdr/>
        <w:spacing/>
        <w:ind/>
        <w:rPr>
          <w:rFonts w:asciiTheme="minorHAnsi" w:hAnsiTheme="minorHAnsi" w:eastAsiaTheme="minorEastAsia" w:cstheme="minorBidi"/>
        </w:rPr>
      </w:pPr>
      <w:r>
        <w:rPr>
          <w:rFonts w:asciiTheme="minorHAnsi" w:hAnsiTheme="minorHAnsi" w:eastAsiaTheme="minorEastAsia" w:cstheme="minorBidi"/>
        </w:rPr>
        <w:t xml:space="preserve">Is there any key element that we did not consider that would improve the quality of our analysis to establish the appropriate Data Centre Commitment Fee?</w:t>
      </w:r>
      <w:r>
        <w:rPr>
          <w:rFonts w:asciiTheme="minorHAnsi" w:hAnsiTheme="minorHAnsi" w:eastAsiaTheme="minorEastAsia" w:cstheme="minorBidi"/>
        </w:rPr>
      </w:r>
    </w:p>
    <w:p w14:paraId="71A54260"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6BF0421A"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231818733"/>
          <w:placeholder>
            <w:docPart w:val="04520A1EED814C5EA6B82EA609CA3AAF"/>
          </w:placeholder>
          <w:rPr>
            <w:rFonts w:asciiTheme="minorHAnsi" w:hAnsiTheme="minorHAnsi" w:eastAsiaTheme="minorEastAsia" w:cstheme="minorBidi"/>
          </w:rPr>
        </w:sdtPr>
        <w:sdtContent>
          <w:r>
            <w:rPr>
              <w:rFonts w:asciiTheme="minorHAnsi" w:hAnsiTheme="minorHAnsi" w:eastAsiaTheme="minorEastAsia" w:cstheme="minorBidi"/>
            </w:rPr>
            <w:t xml:space="preserve">Yes (see response)</w:t>
          </w:r>
        </w:sdtContent>
      </w:sdt>
      <w:r>
        <w:rPr>
          <w:rFonts w:asciiTheme="minorHAnsi" w:hAnsiTheme="minorHAnsi" w:eastAsiaTheme="minorEastAsia" w:cstheme="minorBidi"/>
        </w:rPr>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Yes: the gap between secured/contracted capacity and actual measured utilisation, set out in detail in our response on the proposed fee range above. In summary — a med</w:t>
      </w:r>
      <w:r>
        <w:rPr>
          <w:rFonts w:asciiTheme="minorHAnsi" w:hAnsiTheme="minorHAnsi" w:eastAsiaTheme="minorEastAsia"/>
          <w:sz w:val="24"/>
          <w:szCs w:val="24"/>
        </w:rPr>
        <w:t xml:space="preserve">ian UK data centre site draws roughly 18% of its secured grid capacity on average, 41% at peak; the largest connections in the same dataset draw a median of just 7%; and contracted position overstates measured demand by roughly 5:1 on average, better than </w:t>
      </w:r>
      <w:r>
        <w:rPr>
          <w:rFonts w:asciiTheme="minorHAnsi" w:hAnsiTheme="minorHAnsi" w:eastAsiaTheme="minorEastAsia"/>
          <w:sz w:val="24"/>
          <w:szCs w:val="24"/>
        </w:rPr>
        <w:t xml:space="preserve">2:1 even at each site’s single busiest half-hour across three years of data. A fee calibrated against secured MW, without reference to how much of that capacity is typically used, may be measuring headline capacity reservation rather than the grid impact i</w:t>
      </w:r>
      <w:r>
        <w:rPr>
          <w:rFonts w:asciiTheme="minorHAnsi" w:hAnsiTheme="minorHAnsi" w:eastAsiaTheme="minorEastAsia"/>
          <w:sz w:val="24"/>
          <w:szCs w:val="24"/>
        </w:rPr>
        <w:t xml:space="preserve">t’s meant to price. We’d encourage Ofgem to treat this as a live input into both the fee’s calibration (our response on the proposed fee range) and the applicability threshold (our response on the 40MW threshold) — not a separate consideration from either.</w:t>
      </w:r>
      <w:r>
        <w:rPr>
          <w:rFonts w:asciiTheme="minorHAnsi" w:hAnsiTheme="minorHAnsi" w:eastAsiaTheme="minorEastAsia"/>
          <w:sz w:val="24"/>
          <w:szCs w:val="24"/>
        </w:rPr>
      </w:r>
    </w:p>
    <w:p w14:paraId="4D2F5CE2"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EF8FF40" w14:textId="6E4AB26C">
      <w:pPr>
        <w:pStyle w:val="1005"/>
        <w:pBdr/>
        <w:spacing/>
        <w:ind/>
        <w:rPr>
          <w:rFonts w:asciiTheme="minorHAnsi" w:hAnsiTheme="minorHAnsi" w:eastAsiaTheme="minorEastAsia"/>
          <w:b/>
          <w:bCs/>
          <w:sz w:val="24"/>
          <w:szCs w:val="24"/>
        </w:rPr>
      </w:pPr>
      <w:r>
        <w:t xml:space="preserve">Data Centre Commitment Fee: Scope and Detailed Implementation</w:t>
      </w:r>
      <w:r>
        <w:rPr>
          <w:rFonts w:asciiTheme="minorHAnsi" w:hAnsiTheme="minorHAnsi" w:eastAsiaTheme="minorEastAsia"/>
          <w:b/>
          <w:bCs/>
          <w:sz w:val="24"/>
          <w:szCs w:val="24"/>
        </w:rPr>
      </w:r>
      <w:r>
        <w:rPr>
          <w:rFonts w:asciiTheme="minorHAnsi" w:hAnsiTheme="minorHAnsi" w:eastAsiaTheme="minorEastAsia"/>
          <w:b/>
          <w:bCs/>
          <w:sz w:val="24"/>
          <w:szCs w:val="24"/>
        </w:rPr>
      </w:r>
    </w:p>
    <w:p w14:paraId="76F46D89" w14:textId="4AA75E9A">
      <w:pPr>
        <w:pStyle w:val="1029"/>
        <w:pBdr/>
        <w:spacing/>
        <w:ind/>
        <w:rPr>
          <w:rFonts w:asciiTheme="minorHAnsi" w:hAnsiTheme="minorHAnsi" w:eastAsiaTheme="minorEastAsia" w:cstheme="minorBidi"/>
        </w:rPr>
      </w:pPr>
      <w:r>
        <w:rPr>
          <w:rFonts w:asciiTheme="minorHAnsi" w:hAnsiTheme="minorHAnsi" w:eastAsiaTheme="minorEastAsia" w:cstheme="minorBidi"/>
        </w:rPr>
        <w:t xml:space="preserve">Do you agree with our proposed threshold of 40 MW for which projects should be in scope of the commitment fee?</w:t>
      </w:r>
      <w:bookmarkStart w:id="1" w:name="_Hlk189217100"/>
      <w:r>
        <w:rPr>
          <w:rFonts w:asciiTheme="minorHAnsi" w:hAnsiTheme="minorHAnsi" w:eastAsiaTheme="minorEastAsia" w:cstheme="minorBidi"/>
        </w:rPr>
        <w:t xml:space="preserve"> </w:t>
      </w:r>
      <w:r>
        <w:rPr>
          <w:rFonts w:asciiTheme="minorHAnsi" w:hAnsiTheme="minorHAnsi" w:eastAsiaTheme="minorEastAsia" w:cstheme="minorBidi"/>
        </w:rPr>
      </w:r>
    </w:p>
    <w:p w14:paraId="77CB9669" w14:textId="0FC110DF">
      <w:pPr>
        <w:pBdr/>
        <w:spacing/>
        <w:ind w:left="720"/>
        <w:rPr>
          <w:rFonts w:asciiTheme="minorHAnsi" w:hAnsiTheme="minorHAnsi" w:eastAsiaTheme="minorEastAsia" w:cstheme="minorBidi"/>
        </w:rPr>
      </w:pPr>
      <w:r>
        <w:t xml:space="preserve">Please provide the reasons for your answer. </w:t>
      </w:r>
      <w:r>
        <w:rPr>
          <w:rFonts w:asciiTheme="minorHAnsi" w:hAnsiTheme="minorHAnsi" w:eastAsiaTheme="minorEastAsia" w:cstheme="minorBidi"/>
        </w:rPr>
      </w:r>
      <w:r>
        <w:rPr>
          <w:rFonts w:asciiTheme="minorHAnsi" w:hAnsiTheme="minorHAnsi" w:eastAsiaTheme="minorEastAsia" w:cstheme="minorBidi"/>
        </w:rPr>
      </w:r>
    </w:p>
    <w:p w14:paraId="5856383F"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139532698"/>
          <w:placeholder>
            <w:docPart w:val="B8E3646A8B6146C0A35F1C781AC6820B"/>
          </w:placeholder>
          <w:rPr>
            <w:rFonts w:asciiTheme="minorHAnsi" w:hAnsiTheme="minorHAnsi" w:eastAsiaTheme="minorEastAsia" w:cstheme="minorBidi"/>
          </w:rPr>
        </w:sdtPr>
        <w:sdtContent>
          <w:r>
            <w:rPr>
              <w:rFonts w:asciiTheme="minorHAnsi" w:hAnsiTheme="minorHAnsi" w:eastAsiaTheme="minorEastAsia" w:cstheme="minorBidi"/>
            </w:rPr>
            <w:t xml:space="preserve">No view on an alternative (see response)</w:t>
          </w:r>
        </w:sdtContent>
      </w:sdt>
      <w:r>
        <w:rPr>
          <w:rFonts w:asciiTheme="minorHAnsi" w:hAnsiTheme="minorHAnsi" w:eastAsiaTheme="minorEastAsia" w:cstheme="minorBidi"/>
        </w:rPr>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See our response on the 40MW threshold above. The same TNUoS band-step ‘Dead Zone’ evidenced at 5MW also applies, in closely comparable proportional terms, at 40MW (DataVita DV1). We don’t have evidence that 40MW speci</w:t>
      </w:r>
      <w:r>
        <w:rPr>
          <w:rFonts w:asciiTheme="minorHAnsi" w:hAnsiTheme="minorHAnsi" w:eastAsiaTheme="minorEastAsia"/>
          <w:sz w:val="24"/>
          <w:szCs w:val="24"/>
        </w:rPr>
        <w:t xml:space="preserve">fically, as against a different threshold, tracks a meaningful change in a project’s network-charge mitigation options. We’d encourage Ofgem to test this directly rather than assume it. We take no position on what alternative threshold would be preferable.</w:t>
      </w:r>
      <w:bookmarkEnd w:id="1"/>
      <w:r>
        <w:rPr>
          <w:rFonts w:asciiTheme="minorHAnsi" w:hAnsiTheme="minorHAnsi" w:eastAsiaTheme="minorEastAsia"/>
          <w:sz w:val="24"/>
          <w:szCs w:val="24"/>
        </w:rPr>
      </w:r>
      <w:r>
        <w:rPr>
          <w:rFonts w:asciiTheme="minorHAnsi" w:hAnsiTheme="minorHAnsi" w:eastAsiaTheme="minorEastAsia"/>
          <w:sz w:val="24"/>
          <w:szCs w:val="24"/>
        </w:rPr>
      </w:r>
    </w:p>
    <w:p w14:paraId="5592959A" w14:textId="3D2AF51F">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18B8F413" w14:textId="547F7DEB">
      <w:pPr>
        <w:pStyle w:val="1029"/>
        <w:pBdr/>
        <w:spacing/>
        <w:ind/>
        <w:rPr>
          <w:rFonts w:asciiTheme="minorHAnsi" w:hAnsiTheme="minorHAnsi" w:eastAsiaTheme="minorEastAsia" w:cstheme="minorBidi"/>
        </w:rPr>
      </w:pPr>
      <w:r>
        <w:rPr>
          <w:rFonts w:asciiTheme="minorHAnsi" w:hAnsiTheme="minorHAnsi" w:eastAsiaTheme="minorEastAsia" w:cstheme="minorBidi"/>
        </w:rPr>
        <w:t xml:space="preserve">Do you agree with our proposal to apply the Data Centre Commitment Fee from offer acceptance to energisation? </w:t>
      </w:r>
      <w:r>
        <w:rPr>
          <w:rFonts w:asciiTheme="minorHAnsi" w:hAnsiTheme="minorHAnsi" w:eastAsiaTheme="minorEastAsia" w:cstheme="minorBidi"/>
        </w:rPr>
      </w:r>
    </w:p>
    <w:p w14:paraId="19E433E7" w14:textId="66A9BCB2">
      <w:pPr>
        <w:pStyle w:val="1029"/>
        <w:numPr>
          <w:ilvl w:val="0"/>
          <w:numId w:val="0"/>
        </w:numPr>
        <w:pBdr/>
        <w:spacing/>
        <w:ind w:left="1080"/>
        <w:rPr>
          <w:rFonts w:asciiTheme="minorHAnsi" w:hAnsiTheme="minorHAnsi" w:eastAsiaTheme="minorEastAsia" w:cstheme="minorBidi"/>
        </w:rPr>
      </w:pPr>
      <w:r>
        <w:rPr>
          <w:rFonts w:asciiTheme="minorHAnsi" w:hAnsiTheme="minorHAnsi" w:eastAsiaTheme="minorEastAsia" w:cstheme="minorBidi"/>
        </w:rPr>
        <w:t xml:space="preserve">Please explain your reasoning.</w:t>
      </w:r>
      <w:bookmarkStart w:id="2" w:name="_Hlk189217479"/>
      <w:r>
        <w:rPr>
          <w:rFonts w:asciiTheme="minorHAnsi" w:hAnsiTheme="minorHAnsi" w:eastAsiaTheme="minorEastAsia" w:cstheme="minorBidi"/>
        </w:rPr>
      </w:r>
      <w:r>
        <w:rPr>
          <w:rFonts w:asciiTheme="minorHAnsi" w:hAnsiTheme="minorHAnsi" w:eastAsiaTheme="minorEastAsia" w:cstheme="minorBidi"/>
        </w:rPr>
      </w:r>
    </w:p>
    <w:p w14:paraId="62A7E953"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206154194"/>
          <w:placeholder>
            <w:docPart w:val="87C2003CC4A740B8A145FCD5694C2B96"/>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5EAF0F22"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bookmarkEnd w:id="2"/>
      <w:r>
        <w:rPr>
          <w:rFonts w:asciiTheme="minorHAnsi" w:hAnsiTheme="minorHAnsi" w:eastAsiaTheme="minorEastAsia"/>
          <w:sz w:val="24"/>
          <w:szCs w:val="24"/>
        </w:rPr>
      </w:r>
      <w:r>
        <w:rPr>
          <w:rFonts w:asciiTheme="minorHAnsi" w:hAnsiTheme="minorHAnsi" w:eastAsiaTheme="minorEastAsia"/>
          <w:sz w:val="24"/>
          <w:szCs w:val="24"/>
        </w:rPr>
      </w:r>
    </w:p>
    <w:p w14:paraId="091EDAF6" w14:textId="1FECAE19">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7201C8C7" w14:textId="32424C66">
      <w:pPr>
        <w:pStyle w:val="1029"/>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Do you agree with our proposed definition of data centre, including the proposed approach for self-declaration and verification?</w:t>
      </w:r>
      <w:r>
        <w:rPr>
          <w:rFonts w:asciiTheme="minorHAnsi" w:hAnsiTheme="minorHAnsi" w:eastAsiaTheme="minorEastAsia" w:cstheme="minorBidi"/>
        </w:rPr>
      </w:r>
    </w:p>
    <w:p w14:paraId="6186B4E9" w14:textId="77777777">
      <w:pPr>
        <w:pStyle w:val="1047"/>
        <w:numPr>
          <w:ilvl w:val="0"/>
          <w:numId w:val="0"/>
        </w:numPr>
        <w:pBdr/>
        <w:spacing/>
        <w:ind w:left="785"/>
        <w:rPr>
          <w:rFonts w:asciiTheme="minorHAnsi" w:hAnsiTheme="minorHAnsi" w:eastAsiaTheme="minorEastAsia" w:cstheme="minorBidi"/>
        </w:rPr>
      </w:pPr>
      <w: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07D73141"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2073698603"/>
          <w:placeholder>
            <w:docPart w:val="2E2BCE48AEAD4A489D0DC423786EEF83"/>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65893F96"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No View</w:t>
      </w:r>
      <w:r>
        <w:rPr>
          <w:rFonts w:asciiTheme="minorHAnsi" w:hAnsiTheme="minorHAnsi" w:eastAsiaTheme="minorEastAsia"/>
          <w:sz w:val="24"/>
          <w:szCs w:val="24"/>
        </w:rPr>
      </w:r>
    </w:p>
    <w:p w14:paraId="3BB0E3C4" w14:textId="6A825834">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51D30EE4" w14:textId="3966AE47">
      <w:pPr>
        <w:pStyle w:val="1029"/>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Which adjustment process do you prefer with regard to the fee value: review at NESO or Ofgem discretion, or periodic review? Do you agree with the frequency proposed for the periodic review?  </w:t>
      </w:r>
      <w:r>
        <w:rPr>
          <w:rFonts w:asciiTheme="minorHAnsi" w:hAnsiTheme="minorHAnsi" w:eastAsiaTheme="minorEastAsia" w:cstheme="minorBidi"/>
        </w:rPr>
      </w:r>
    </w:p>
    <w:p w14:paraId="28EF3292"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7B73DA89"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No strong preference (see response)</w:t>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have no strong preference between discretion and periodic review, and no view on the specific frequency proposed.</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One piece of evidence bears on the choice, though. Our utilisation analysis (response on the</w:t>
      </w:r>
      <w:r>
        <w:rPr>
          <w:rFonts w:asciiTheme="minorHAnsi" w:hAnsiTheme="minorHAnsi" w:eastAsiaTheme="minorEastAsia"/>
          <w:sz w:val="24"/>
          <w:szCs w:val="24"/>
        </w:rPr>
        <w:t xml:space="preserve"> proposed fee range above) is a snapshot, not a guarantee of a stable pattern. If the gap between secured and drawn capacity narrows or widens over time, a fee calibrated against today’s evidence could drift out of proportion with what it’s meant to price.</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A periodic review with a defined, evidence-based trigger gives developers more certainty than open-ended discretion. It also creates a natural point to revisit the calibration against updated utilisation data.</w:t>
      </w:r>
      <w:r>
        <w:rPr>
          <w:rFonts w:asciiTheme="minorHAnsi" w:hAnsiTheme="minorHAnsi" w:eastAsiaTheme="minorEastAsia"/>
          <w:sz w:val="24"/>
          <w:szCs w:val="24"/>
        </w:rPr>
      </w:r>
    </w:p>
    <w:p w14:paraId="0AB749A0"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34C4AC40" w14:textId="599B4DF8">
      <w:pPr>
        <w:pStyle w:val="1029"/>
        <w:pBdr/>
        <w:spacing/>
        <w:ind/>
        <w:rPr>
          <w:rFonts w:asciiTheme="minorHAnsi" w:hAnsiTheme="minorHAnsi" w:eastAsiaTheme="minorEastAsia" w:cstheme="minorBidi"/>
        </w:rPr>
      </w:pPr>
      <w:r>
        <w:rPr>
          <w:rFonts w:asciiTheme="minorHAnsi" w:hAnsiTheme="minorHAnsi" w:eastAsiaTheme="minorEastAsia" w:cstheme="minorBidi"/>
        </w:rPr>
        <w:t xml:space="preserve">Do you agree with our proposal to adjust the applicability threshold for the Data Centre Commitment Fee?</w:t>
      </w:r>
      <w:r>
        <w:rPr>
          <w:rFonts w:asciiTheme="minorHAnsi" w:hAnsiTheme="minorHAnsi" w:eastAsiaTheme="minorEastAsia" w:cstheme="minorBidi"/>
        </w:rPr>
      </w:r>
    </w:p>
    <w:p w14:paraId="7810F2C8"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3D3ED333"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469721169"/>
          <w:placeholder>
            <w:docPart w:val="911F1505E34742C09C56AA4C2980C152"/>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2E391EC6"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605E6433"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12C682B9" w14:textId="360B9868">
      <w:pPr>
        <w:pStyle w:val="1029"/>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Do you agree with our proposed sanction pre-energisation?</w:t>
      </w:r>
      <w:r>
        <w:rPr>
          <w:rFonts w:asciiTheme="minorHAnsi" w:hAnsiTheme="minorHAnsi" w:eastAsiaTheme="minorEastAsia" w:cstheme="minorBidi"/>
        </w:rPr>
      </w:r>
    </w:p>
    <w:p w14:paraId="6491A5C8"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4291DACC"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2007902233"/>
          <w:placeholder>
            <w:docPart w:val="C2FDBB35107C4233AFEAE1970E46E06C"/>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7083A896"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No View</w:t>
      </w:r>
      <w:r>
        <w:rPr>
          <w:rFonts w:asciiTheme="minorHAnsi" w:hAnsiTheme="minorHAnsi" w:eastAsiaTheme="minorEastAsia"/>
          <w:sz w:val="24"/>
          <w:szCs w:val="24"/>
        </w:rPr>
      </w:r>
    </w:p>
    <w:p w14:paraId="05E77297"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5D713135" w14:textId="5E26138A">
      <w:pPr>
        <w:pStyle w:val="1029"/>
        <w:pBdr/>
        <w:spacing/>
        <w:ind/>
        <w:rPr>
          <w:rFonts w:asciiTheme="minorHAnsi" w:hAnsiTheme="minorHAnsi" w:eastAsiaTheme="minorEastAsia" w:cstheme="minorBidi"/>
        </w:rPr>
      </w:pPr>
      <w:r>
        <w:rPr>
          <w:rFonts w:asciiTheme="minorHAnsi" w:hAnsiTheme="minorHAnsi" w:eastAsiaTheme="minorEastAsia" w:cstheme="minorBidi"/>
        </w:rPr>
        <w:t xml:space="preserve">Do you agree with our proposal to treat the Data Centre Commitment Fee as a security and accept existing types of securities? Do you agree with our proposal to pass forfeited securities to consumers through TNUoS charges?</w:t>
      </w:r>
      <w:r>
        <w:rPr>
          <w:rFonts w:asciiTheme="minorHAnsi" w:hAnsiTheme="minorHAnsi" w:eastAsiaTheme="minorEastAsia" w:cstheme="minorBidi"/>
        </w:rPr>
      </w:r>
    </w:p>
    <w:p w14:paraId="5A799CF6"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068779FD"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936631590"/>
          <w:placeholder>
            <w:docPart w:val="4CE5E270F87F40029D3234977968962E"/>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165F929D"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6B88513F"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4713ED60" w14:textId="741D24E8">
      <w:pPr>
        <w:pStyle w:val="1029"/>
        <w:pBdr/>
        <w:spacing/>
        <w:ind/>
        <w:rPr>
          <w:rFonts w:asciiTheme="minorHAnsi" w:hAnsiTheme="minorHAnsi" w:eastAsiaTheme="minorEastAsia" w:cstheme="minorBidi"/>
        </w:rPr>
      </w:pPr>
      <w:r>
        <w:rPr>
          <w:rFonts w:asciiTheme="minorHAnsi" w:hAnsiTheme="minorHAnsi" w:eastAsiaTheme="minorEastAsia" w:cstheme="minorBidi"/>
        </w:rPr>
        <w:t xml:space="preserve">Do you agree with our proposal in relation to the treatment of hybrid projects with regard to the commitment fee?</w:t>
      </w:r>
      <w:r>
        <w:rPr>
          <w:rFonts w:asciiTheme="minorHAnsi" w:hAnsiTheme="minorHAnsi" w:eastAsiaTheme="minorEastAsia" w:cstheme="minorBidi"/>
        </w:rPr>
      </w:r>
    </w:p>
    <w:p w14:paraId="62865BEE"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5781B46B"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621844224"/>
          <w:placeholder>
            <w:docPart w:val="4088D5BF6AEE424D8CF7022E6D1103E9"/>
          </w:placeholder>
          <w:rPr>
            <w:rFonts w:asciiTheme="minorHAnsi" w:hAnsiTheme="minorHAnsi" w:eastAsiaTheme="minorEastAsia" w:cstheme="minorBidi"/>
          </w:rPr>
        </w:sdtPr>
        <w:sdtContent>
          <w:r>
            <w:rPr>
              <w:rFonts w:asciiTheme="minorHAnsi" w:hAnsiTheme="minorHAnsi" w:eastAsiaTheme="minorEastAsia" w:cstheme="minorBidi"/>
            </w:rPr>
            <w:t xml:space="preserve">No view – see response</w:t>
          </w:r>
        </w:sdtContent>
      </w:sdt>
      <w:r>
        <w:rPr>
          <w:rFonts w:asciiTheme="minorHAnsi" w:hAnsiTheme="minorHAnsi" w:eastAsiaTheme="minorEastAsia" w:cstheme="minorBidi"/>
        </w:rPr>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don’t have independent evidence on the appropriate trea</w:t>
      </w:r>
      <w:r>
        <w:rPr>
          <w:rFonts w:asciiTheme="minorHAnsi" w:hAnsiTheme="minorHAnsi" w:eastAsiaTheme="minorEastAsia"/>
          <w:sz w:val="24"/>
          <w:szCs w:val="24"/>
        </w:rPr>
        <w:t xml:space="preserve">tment of hybrid projects, and offer no view on the specific proposal. For Ofgem’s awareness: applying the commitment fee only to the data-centre component of a hybrid project’s capacity, as proposed, creates a structural difference in fee exposure between </w:t>
      </w:r>
      <w:r>
        <w:rPr>
          <w:rFonts w:asciiTheme="minorHAnsi" w:hAnsiTheme="minorHAnsi" w:eastAsiaTheme="minorEastAsia"/>
          <w:sz w:val="24"/>
          <w:szCs w:val="24"/>
        </w:rPr>
        <w:t xml:space="preserve">a pure data centre project and a hybrid project of the same total secured capacity — depending on how that capacity is allocated between components. We haven’t assessed whether this difference is material in practice, or whether it creates an incentive to </w:t>
      </w:r>
      <w:r>
        <w:rPr>
          <w:rFonts w:asciiTheme="minorHAnsi" w:hAnsiTheme="minorHAnsi" w:eastAsiaTheme="minorEastAsia"/>
          <w:sz w:val="24"/>
          <w:szCs w:val="24"/>
        </w:rPr>
        <w:t xml:space="preserve">structure projects as hybrids partly to reduce fee exposure; that would need evidence beyond what we can offer. But it seems worth Ofgem testing directly, since the allocation methodology between components will need to be robust for the exemption to work.</w:t>
      </w:r>
      <w:r>
        <w:rPr>
          <w:rFonts w:asciiTheme="minorHAnsi" w:hAnsiTheme="minorHAnsi" w:eastAsiaTheme="minorEastAsia"/>
          <w:sz w:val="24"/>
          <w:szCs w:val="24"/>
        </w:rPr>
      </w:r>
    </w:p>
    <w:p w14:paraId="0156E102"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1773A27C">
      <w:pPr>
        <w:pBdr/>
        <w:shd w:val="nil"/>
        <w:spacing/>
        <w:ind/>
        <w:rPr>
          <w:rFonts w:asciiTheme="minorHAnsi" w:hAnsiTheme="minorHAnsi" w:eastAsiaTheme="minorEastAsia" w:cstheme="minorBidi"/>
        </w:rPr>
      </w:pPr>
      <w:r>
        <w:rPr>
          <w:rFonts w:asciiTheme="minorHAnsi" w:hAnsiTheme="minorHAnsi" w:eastAsiaTheme="minorEastAsia" w:cstheme="minorBidi"/>
          <w:highlight w:val="none"/>
        </w:rPr>
        <w:br w:type="page" w:clear="all"/>
      </w:r>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0B099728" w14:textId="493B8D10">
      <w:pPr>
        <w:pStyle w:val="1029"/>
        <w:pBdr/>
        <w:spacing/>
        <w:ind w:firstLine="0" w:left="720"/>
        <w:rPr>
          <w:rFonts w:asciiTheme="minorHAnsi" w:hAnsiTheme="minorHAnsi" w:eastAsiaTheme="minorEastAsia" w:cstheme="minorBidi"/>
          <w:highlight w:val="none"/>
        </w:rPr>
      </w:pPr>
      <w:r>
        <w:rPr>
          <w:rFonts w:asciiTheme="minorHAnsi" w:hAnsiTheme="minorHAnsi" w:eastAsiaTheme="minorEastAsia" w:cstheme="minorBidi"/>
        </w:rPr>
        <w:t xml:space="preserve">Do you agree with our proposal in relation to change of use and modification applications?</w:t>
      </w:r>
      <w:r>
        <w:rPr>
          <w:rFonts w:asciiTheme="minorHAnsi" w:hAnsiTheme="minorHAnsi" w:eastAsiaTheme="minorEastAsia" w:cstheme="minorBidi"/>
        </w:rPr>
      </w:r>
    </w:p>
    <w:p w14:paraId="09F8970D"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20C78612"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w:t>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agree with the principle behind the proposed capacity-reduction rule. If a developer voluntarily reduces its contracted capacity, Ofgem proposes that it pay the data centre </w:t>
      </w:r>
      <w:r>
        <w:rPr>
          <w:rFonts w:asciiTheme="minorHAnsi" w:hAnsiTheme="minorHAnsi" w:eastAsiaTheme="minorEastAsia"/>
          <w:sz w:val="24"/>
          <w:szCs w:val="24"/>
        </w:rPr>
        <w:t xml:space="preserve">commitment fee on the capacity given up, recalculated against the revised total. Ofgem states this is modelled on the existing generation-project precedent (CMP448) and is meant to “incentivise commitment towards contracted capacity.” We support that goal.</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But the rule only reaches capacity a developer actively gives back. It does nothing about capacity a devel</w:t>
      </w:r>
      <w:r>
        <w:rPr>
          <w:rFonts w:asciiTheme="minorHAnsi" w:hAnsiTheme="minorHAnsi" w:eastAsiaTheme="minorEastAsia"/>
          <w:sz w:val="24"/>
          <w:szCs w:val="24"/>
        </w:rPr>
        <w:t xml:space="preserve">oper secures once, never formally reduces, and simply leaves unused indefinitely. That gap matters, because our own evidence the utilisation analysis in our response on the proposed fee range above  shows this is not a marginal case. It is the median case.</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To make the scale concrete: a 40MW Extra-High Voltage connection, drawing at that tier’s own median utilisation of 6.6%, uses 2.6MW. The rem</w:t>
      </w:r>
      <w:r>
        <w:rPr>
          <w:rFonts w:asciiTheme="minorHAnsi" w:hAnsiTheme="minorHAnsi" w:eastAsiaTheme="minorEastAsia"/>
          <w:sz w:val="24"/>
          <w:szCs w:val="24"/>
        </w:rPr>
        <w:t xml:space="preserve">aining 37.4MW sits secured, and idle, indefinitely, with no fee consequence under the current proposal. Scaled up, UK Power Networks’ own published data on operational data centre capacity by local authority totals approximately 1,125MW across its licence </w:t>
      </w:r>
      <w:r>
        <w:rPr>
          <w:rFonts w:asciiTheme="minorHAnsi" w:hAnsiTheme="minorHAnsi" w:eastAsiaTheme="minorEastAsia"/>
          <w:sz w:val="24"/>
          <w:szCs w:val="24"/>
        </w:rPr>
        <w:t xml:space="preserve">area (1,184 MVA). Applying our dataset’s own overall median utilisation of 18.4% suggests in the region of 900MW of that capacity is unused at any given moment. We flag this as an order-of-magnitude estimate, not an audited figure. It combines two separate</w:t>
      </w:r>
      <w:r>
        <w:rPr>
          <w:rFonts w:asciiTheme="minorHAnsi" w:hAnsiTheme="minorHAnsi" w:eastAsiaTheme="minorEastAsia"/>
          <w:sz w:val="24"/>
          <w:szCs w:val="24"/>
        </w:rPr>
        <w:t xml:space="preserve"> UK Power Networks releases that are not confirmed to cover an identical set of sites, and we have deliberately used the blended, all-tier utilisation figure rather than the lower Extra-High Voltage figure, since the former is the more conservative choice.</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recommend Ofgem examine extending the same logic behind the reduction-fee rule into an ongoing charge linked to utilisation against contracted capacity, rather than applying it only at the point of a v</w:t>
      </w:r>
      <w:r>
        <w:rPr>
          <w:rFonts w:asciiTheme="minorHAnsi" w:hAnsiTheme="minorHAnsi" w:eastAsiaTheme="minorEastAsia"/>
          <w:sz w:val="24"/>
          <w:szCs w:val="24"/>
        </w:rPr>
        <w:t xml:space="preserve">oluntary reduction. Two design features would matter. First, any such charge should be phased in only after a stated ramp period, so that legitimate phased build-out — one of the explanations for the utilisation gap we set out in our response on the propos</w:t>
      </w:r>
      <w:r>
        <w:rPr>
          <w:rFonts w:asciiTheme="minorHAnsi" w:hAnsiTheme="minorHAnsi" w:eastAsiaTheme="minorEastAsia"/>
          <w:sz w:val="24"/>
          <w:szCs w:val="24"/>
        </w:rPr>
        <w:t xml:space="preserve">ed fee range — is not penalised as if it were speculative over-booking. Second, it should allow a developer to declare its redundancy architecture (N+1, 2N, or similar) up front, since built-in redundancy is a deliberate and legitimate reason for secured c</w:t>
      </w:r>
      <w:r>
        <w:rPr>
          <w:rFonts w:asciiTheme="minorHAnsi" w:hAnsiTheme="minorHAnsi" w:eastAsiaTheme="minorEastAsia"/>
          <w:sz w:val="24"/>
          <w:szCs w:val="24"/>
        </w:rPr>
        <w:t xml:space="preserve">apacity to exceed measured draw, not evidence of gaming the queue. We do not have a basis to recommend a specific rate or formula; we raise this as a mechanism worth Ofgem’s own further work, on the same evidentiary footing as our fee-range response above.</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One further idea, offered for Ofgem to conside</w:t>
      </w:r>
      <w:r>
        <w:rPr>
          <w:rFonts w:asciiTheme="minorHAnsi" w:hAnsiTheme="minorHAnsi" w:eastAsiaTheme="minorEastAsia"/>
          <w:sz w:val="24"/>
          <w:szCs w:val="24"/>
        </w:rPr>
        <w:t xml:space="preserve">r rather than as a firm recommendation: a fee reduction for a developer that voluntarily releases unused secured capacity back to the network, ahead of any formal reduction, so that capacity can be reallocated to another project waiting in the queue at the</w:t>
      </w:r>
      <w:r>
        <w:rPr>
          <w:rFonts w:asciiTheme="minorHAnsi" w:hAnsiTheme="minorHAnsi" w:eastAsiaTheme="minorEastAsia"/>
          <w:sz w:val="24"/>
          <w:szCs w:val="24"/>
        </w:rPr>
        <w:t xml:space="preserve"> same point on the network. We have not found this mechanism proposed anywhere in the current consultation or in the wider connections-reform material we reviewed, so we offer it as a new suggestion, not an existing gap. We note it would need coordination </w:t>
      </w:r>
      <w:r>
        <w:rPr>
          <w:rFonts w:asciiTheme="minorHAnsi" w:hAnsiTheme="minorHAnsi" w:eastAsiaTheme="minorEastAsia"/>
          <w:sz w:val="24"/>
          <w:szCs w:val="24"/>
        </w:rPr>
        <w:t xml:space="preserve">beyond Ofgem’s own remit. Ofgem would set the fee incentive, but NESO and the relevant distribution network operators would need to manage the actual reallocation. Which is the same kind of cross-body coordination point we raise elsewhere in this response.</w:t>
      </w:r>
      <w:r>
        <w:rPr>
          <w:rFonts w:asciiTheme="minorHAnsi" w:hAnsiTheme="minorHAnsi" w:eastAsiaTheme="minorEastAsia"/>
          <w:sz w:val="24"/>
          <w:szCs w:val="24"/>
        </w:rPr>
      </w:r>
    </w:p>
    <w:p w14:paraId="40C987CF"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54110DD0" w14:textId="265BAC5D">
      <w:pPr>
        <w:pStyle w:val="1029"/>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Do you agree with our proposal in relation to treatment of self-terminating projects following an increase of the data centre commitment fee?</w:t>
      </w:r>
      <w:r>
        <w:rPr>
          <w:rFonts w:asciiTheme="minorHAnsi" w:hAnsiTheme="minorHAnsi" w:eastAsiaTheme="minorEastAsia" w:cstheme="minorBidi"/>
        </w:rPr>
      </w:r>
    </w:p>
    <w:p w14:paraId="2D4BCF69"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5060C9BB"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54164591"/>
          <w:placeholder>
            <w:docPart w:val="B038DAFD79F044918636F6F40C115858"/>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2C27FBED"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No View</w:t>
      </w:r>
      <w:r>
        <w:rPr>
          <w:rFonts w:asciiTheme="minorHAnsi" w:hAnsiTheme="minorHAnsi" w:eastAsiaTheme="minorEastAsia"/>
          <w:sz w:val="24"/>
          <w:szCs w:val="24"/>
        </w:rPr>
      </w:r>
    </w:p>
    <w:p w14:paraId="14F889A5"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3AFE5693" w14:textId="766B7929">
      <w:pPr>
        <w:pStyle w:val="1029"/>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What option do you prefer regarding other cancellation charges following self-termination: Option 1: being required to pay them or Option 2: not being required to pay them?</w:t>
      </w:r>
      <w:r>
        <w:rPr>
          <w:rFonts w:asciiTheme="minorHAnsi" w:hAnsiTheme="minorHAnsi" w:eastAsiaTheme="minorEastAsia" w:cstheme="minorBidi"/>
        </w:rPr>
      </w:r>
    </w:p>
    <w:p w14:paraId="4A4C1F9E"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6565BE8C"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No strong preference (see response)</w:t>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have no strong preference between the two options, and no independent evidence on which better serves Ofgem’s objective.</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One connection is worth flagging. If a project self-terminates because it discovers its secured capacity was never g</w:t>
      </w:r>
      <w:r>
        <w:rPr>
          <w:rFonts w:asciiTheme="minorHAnsi" w:hAnsiTheme="minorHAnsi" w:eastAsiaTheme="minorEastAsia"/>
          <w:sz w:val="24"/>
          <w:szCs w:val="24"/>
        </w:rPr>
        <w:t xml:space="preserve">oing to be used, our evidence suggests this is common, not rare, a cancellation charge built to punish speculative queue-holding may be the wrong tool. It would be punishing a legitimate correction of an over-specified application, not bad-faith behaviour.</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We’d encourage Ofgem to consider whether the reason for self-termination should affect which option applies, rather than treating every self-termination the same.</w:t>
      </w:r>
      <w:r>
        <w:rPr>
          <w:rFonts w:asciiTheme="minorHAnsi" w:hAnsiTheme="minorHAnsi" w:eastAsiaTheme="minorEastAsia"/>
          <w:sz w:val="24"/>
          <w:szCs w:val="24"/>
        </w:rPr>
      </w:r>
    </w:p>
    <w:p w14:paraId="7AA9D8D2"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1508CF59">
      <w:pPr>
        <w:pBdr/>
        <w:shd w:val="nil"/>
        <w:spacing/>
        <w:ind/>
        <w:rPr>
          <w:rFonts w:asciiTheme="minorHAnsi" w:hAnsiTheme="minorHAnsi" w:eastAsiaTheme="minorEastAsia" w:cstheme="minorBidi"/>
        </w:rPr>
      </w:pPr>
      <w:r>
        <w:rPr>
          <w:rFonts w:asciiTheme="minorHAnsi" w:hAnsiTheme="minorHAnsi" w:eastAsiaTheme="minorEastAsia" w:cstheme="minorBidi"/>
          <w:highlight w:val="none"/>
        </w:rPr>
        <w:br w:type="page" w:clear="all"/>
      </w:r>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615B1102" w14:textId="35906EF2">
      <w:pPr>
        <w:pStyle w:val="1029"/>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Do you agree with our proposal in relation to exemptions and grace periods?</w:t>
      </w:r>
      <w:r>
        <w:rPr>
          <w:rFonts w:asciiTheme="minorHAnsi" w:hAnsiTheme="minorHAnsi" w:eastAsiaTheme="minorEastAsia" w:cstheme="minorBidi"/>
        </w:rPr>
      </w:r>
    </w:p>
    <w:p w14:paraId="7DA86FF6"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41DC2255"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526827121"/>
          <w:placeholder>
            <w:docPart w:val="B726F69FA8A54899BE0C969A660DCFB4"/>
          </w:placeholder>
          <w:rPr>
            <w:rFonts w:asciiTheme="minorHAnsi" w:hAnsiTheme="minorHAnsi" w:eastAsiaTheme="minorEastAsia" w:cstheme="minorBidi"/>
          </w:rPr>
        </w:sdtPr>
        <w:sdtContent>
          <w:r>
            <w:rPr>
              <w:rFonts w:asciiTheme="minorHAnsi" w:hAnsiTheme="minorHAnsi" w:eastAsiaTheme="minorEastAsia" w:cstheme="minorBidi"/>
            </w:rPr>
            <w:t xml:space="preserve">No – see response</w:t>
          </w:r>
        </w:sdtContent>
      </w:sdt>
      <w:r>
        <w:rPr>
          <w:rFonts w:asciiTheme="minorHAnsi" w:hAnsiTheme="minorHAnsi" w:eastAsiaTheme="minorEastAsia" w:cstheme="minorBidi"/>
        </w:rPr>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have a specific concern about how the proposed exemption interacts with typical data centre project timelines. Ofgem’s ow</w:t>
      </w:r>
      <w:r>
        <w:rPr>
          <w:rFonts w:asciiTheme="minorHAnsi" w:hAnsiTheme="minorHAnsi" w:eastAsiaTheme="minorEastAsia"/>
          <w:sz w:val="24"/>
          <w:szCs w:val="24"/>
        </w:rPr>
        <w:t xml:space="preserve">n text (para 5.44) proposes exempting data centre projects from the commitment fee only where their energisation date falls within six months of the regime being introduced. For projects with connection offers already accepted but energisation dates severa</w:t>
      </w:r>
      <w:r>
        <w:rPr>
          <w:rFonts w:asciiTheme="minorHAnsi" w:hAnsiTheme="minorHAnsi" w:eastAsiaTheme="minorEastAsia"/>
          <w:sz w:val="24"/>
          <w:szCs w:val="24"/>
        </w:rPr>
        <w:t xml:space="preserve">l years out, not unusual for data centres of fee-liable scale, our evidence (DataVita DV1) suggests, this means the fee would be levied on a project structured and financed under a different regulatory regime, with no transitional runway beyond six months.</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don’t have in</w:t>
      </w:r>
      <w:r>
        <w:rPr>
          <w:rFonts w:asciiTheme="minorHAnsi" w:hAnsiTheme="minorHAnsi" w:eastAsiaTheme="minorEastAsia"/>
          <w:sz w:val="24"/>
          <w:szCs w:val="24"/>
        </w:rPr>
        <w:t xml:space="preserve">dependent evidence on what transitional period would be appropriate, and don’t propose a specific alternative number. We’d encourage Ofgem to consider a longer transitional period, or an approach that varies grace-period length with how far a project’s ene</w:t>
      </w:r>
      <w:r>
        <w:rPr>
          <w:rFonts w:asciiTheme="minorHAnsi" w:hAnsiTheme="minorHAnsi" w:eastAsiaTheme="minorEastAsia"/>
          <w:sz w:val="24"/>
          <w:szCs w:val="24"/>
        </w:rPr>
        <w:t xml:space="preserve">rgisation date sits beyond the six-month cutoff — better balancing the policy objective (discouraging genuinely speculative queue-holding) against the risk of penalising developers who accepted a connection offer in good faith before this fee was proposed.</w:t>
      </w:r>
      <w:r>
        <w:rPr>
          <w:rFonts w:asciiTheme="minorHAnsi" w:hAnsiTheme="minorHAnsi" w:eastAsiaTheme="minorEastAsia"/>
          <w:sz w:val="24"/>
          <w:szCs w:val="24"/>
        </w:rPr>
      </w:r>
    </w:p>
    <w:p w14:paraId="5A40C226"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705561F2" w14:textId="596CDD08">
      <w:pPr>
        <w:pStyle w:val="1029"/>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Do you have specific concerns or comments related to the proposals discussed in chapter 5?</w:t>
      </w:r>
      <w:r>
        <w:rPr>
          <w:rFonts w:asciiTheme="minorHAnsi" w:hAnsiTheme="minorHAnsi" w:eastAsiaTheme="minorEastAsia" w:cstheme="minorBidi"/>
        </w:rPr>
      </w:r>
    </w:p>
    <w:p w14:paraId="169B7967"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658D1AE4"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358006019"/>
          <w:placeholder>
            <w:docPart w:val="EE5F5C6DB39B4CC9B1429848B27DC027"/>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441BEC4D"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4753315D" w14:textId="42E55AE0">
      <w:pPr>
        <w:pStyle w:val="1005"/>
        <w:pBdr/>
        <w:spacing/>
        <w:ind/>
        <w:rPr>
          <w:rFonts w:asciiTheme="minorHAnsi" w:hAnsiTheme="minorHAnsi" w:eastAsiaTheme="minorEastAsia"/>
          <w:b/>
          <w:bCs/>
          <w:sz w:val="24"/>
          <w:szCs w:val="24"/>
        </w:rPr>
      </w:pPr>
      <w:r>
        <w:t xml:space="preserve">Data Centre Queue Management Milestones: Policy Design</w:t>
      </w:r>
      <w:r>
        <w:rPr>
          <w:rFonts w:asciiTheme="minorHAnsi" w:hAnsiTheme="minorHAnsi" w:eastAsiaTheme="minorEastAsia"/>
          <w:b/>
          <w:bCs/>
          <w:sz w:val="24"/>
          <w:szCs w:val="24"/>
        </w:rPr>
      </w:r>
      <w:r>
        <w:rPr>
          <w:rFonts w:asciiTheme="minorHAnsi" w:hAnsiTheme="minorHAnsi" w:eastAsiaTheme="minorEastAsia"/>
          <w:b/>
          <w:bCs/>
          <w:sz w:val="24"/>
          <w:szCs w:val="24"/>
        </w:rPr>
      </w:r>
    </w:p>
    <w:p w14:paraId="4801CB6C" w14:textId="0456C4EC">
      <w:pPr>
        <w:pStyle w:val="1029"/>
        <w:numPr>
          <w:ilvl w:val="0"/>
          <w:numId w:val="29"/>
        </w:numPr>
        <w:pBdr/>
        <w:spacing/>
        <w:ind/>
        <w:rPr>
          <w:rFonts w:asciiTheme="minorHAnsi" w:hAnsiTheme="minorHAnsi" w:eastAsiaTheme="minorEastAsia" w:cstheme="minorBidi"/>
        </w:rPr>
      </w:pPr>
      <w:r>
        <w:rPr>
          <w:rFonts w:asciiTheme="minorHAnsi" w:hAnsiTheme="minorHAnsi" w:eastAsiaTheme="minorEastAsia" w:cstheme="minorBidi"/>
        </w:rPr>
        <w:t xml:space="preserve">Do you agree with our proposed </w:t>
      </w:r>
      <w:r>
        <w:t xml:space="preserve">data centre queue management milestone </w:t>
      </w:r>
      <w:r>
        <w:rPr>
          <w:rFonts w:asciiTheme="minorHAnsi" w:hAnsiTheme="minorHAnsi" w:eastAsiaTheme="minorEastAsia" w:cstheme="minorBidi"/>
        </w:rPr>
        <w:t xml:space="preserve">measures? </w:t>
      </w:r>
      <w:bookmarkStart w:id="4" w:name="_Hlk189218529"/>
      <w:r>
        <w:rPr>
          <w:rFonts w:asciiTheme="minorHAnsi" w:hAnsiTheme="minorHAnsi" w:eastAsiaTheme="minorEastAsia" w:cstheme="minorBidi"/>
        </w:rPr>
      </w:r>
      <w:r>
        <w:rPr>
          <w:rFonts w:asciiTheme="minorHAnsi" w:hAnsiTheme="minorHAnsi" w:eastAsiaTheme="minorEastAsia" w:cstheme="minorBidi"/>
        </w:rPr>
      </w:r>
    </w:p>
    <w:p w14:paraId="07E5BCFD"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200836371"/>
          <w:placeholder>
            <w:docPart w:val="B67A54FA63344622B4DDAC8CB4BBDC94"/>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138FE5B8"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bookmarkEnd w:id="4"/>
      <w:r>
        <w:rPr>
          <w:rFonts w:asciiTheme="minorHAnsi" w:hAnsiTheme="minorHAnsi" w:eastAsiaTheme="minorEastAsia"/>
          <w:sz w:val="24"/>
          <w:szCs w:val="24"/>
        </w:rPr>
      </w:r>
      <w:r>
        <w:rPr>
          <w:rFonts w:asciiTheme="minorHAnsi" w:hAnsiTheme="minorHAnsi" w:eastAsiaTheme="minorEastAsia"/>
          <w:sz w:val="24"/>
          <w:szCs w:val="24"/>
        </w:rPr>
      </w:r>
    </w:p>
    <w:p w14:paraId="35A556A1" w14:textId="2BAFC6F3">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07540FCF" w14:textId="6D1E4063">
      <w:pPr>
        <w:pStyle w:val="1029"/>
        <w:numPr>
          <w:ilvl w:val="0"/>
          <w:numId w:val="29"/>
        </w:numPr>
        <w:pBdr/>
        <w:spacing/>
        <w:ind/>
        <w:rPr/>
      </w:pPr>
      <w:r>
        <w:t xml:space="preserve">Which of the three options for binding compute offtake evidence do you consider most appropriate, and why? Do you agree with our minded to position of a requirement for at least 20% of compute capacity for at least one year?</w:t>
      </w:r>
      <w:r/>
    </w:p>
    <w:p w14:paraId="3EEF2B00"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372959339"/>
          <w:placeholder>
            <w:docPart w:val="1ED6D567324943A0B55B105CF2247641"/>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78517EAE"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3240D2C1" w14:textId="4404DDAF">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6685D620" w14:textId="4FB4DABA">
      <w:pPr>
        <w:pStyle w:val="1029"/>
        <w:numPr>
          <w:ilvl w:val="0"/>
          <w:numId w:val="29"/>
        </w:numPr>
        <w:pBdr/>
        <w:spacing/>
        <w:ind/>
        <w:rPr/>
      </w:pPr>
      <w:r>
        <w:t xml:space="preserve">For the compute offtake threshold, should the percentage threshold or minimum contract duration should be higher, lower, or designed differently for different data centre business models?</w:t>
      </w:r>
      <w:r/>
    </w:p>
    <w:p w14:paraId="37747765"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330646605"/>
          <w:placeholder>
            <w:docPart w:val="5C0D9AFF47F04E0D84B52C716A2A2229"/>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0A153B81"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6B988739"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41B673FC" w14:textId="7E0C01CA">
      <w:pPr>
        <w:pStyle w:val="1029"/>
        <w:numPr>
          <w:ilvl w:val="0"/>
          <w:numId w:val="29"/>
        </w:numPr>
        <w:pBdr/>
        <w:spacing/>
        <w:ind/>
        <w:rPr/>
      </w:pPr>
      <w:r>
        <w:t xml:space="preserve">For the long-lead procurement requirement, should the requirement cover transformers and switchgear only, or should other long-lead electrical equipment be accepted?</w:t>
      </w:r>
      <w:r/>
    </w:p>
    <w:p w14:paraId="0F8C4F8F"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563181651"/>
          <w:placeholder>
            <w:docPart w:val="B8A7DB7C4898409CB74AAD598A58CCB7"/>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14D4DF98"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45927800"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13BBA441" w14:textId="45527874">
      <w:pPr>
        <w:pStyle w:val="1029"/>
        <w:numPr>
          <w:ilvl w:val="0"/>
          <w:numId w:val="29"/>
        </w:numPr>
        <w:pBdr/>
        <w:spacing/>
        <w:ind/>
        <w:rPr/>
      </w:pPr>
      <w:r>
        <w:t xml:space="preserve">For the long-lead procurement requirement, should equipment be assessed against indicative voltage-linked ranges, or should NESO and distribution network operators assess whether it is appropriate to the project’s particular connection and design?</w:t>
      </w:r>
      <w:r/>
    </w:p>
    <w:p w14:paraId="2099005F"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355016346"/>
          <w:placeholder>
            <w:docPart w:val="63ABF6DE21254B968D595FDACDB3DB3E"/>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28AFFD2D"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029077D3"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63346904" w14:textId="2A4B6F88">
      <w:pPr>
        <w:pStyle w:val="1029"/>
        <w:numPr>
          <w:ilvl w:val="0"/>
          <w:numId w:val="29"/>
        </w:numPr>
        <w:pBdr/>
        <w:spacing/>
        <w:ind/>
        <w:rPr/>
      </w:pPr>
      <w:r>
        <w:t xml:space="preserve">Do you agree with our proposal to require data centre projects to demonstrate financial capability through either an investment-grade credit rating or legally enforceable credit support committed to the project?</w:t>
      </w:r>
      <w:r/>
    </w:p>
    <w:p w14:paraId="6CADBA62"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256895426"/>
          <w:placeholder>
            <w:docPart w:val="CD470AD81ACE4C8E953763B85555BA1F"/>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5FD42C13"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69ABB316"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5594A531" w14:textId="48A81094">
      <w:pPr>
        <w:pStyle w:val="1029"/>
        <w:numPr>
          <w:ilvl w:val="0"/>
          <w:numId w:val="29"/>
        </w:numPr>
        <w:pBdr/>
        <w:spacing/>
        <w:ind/>
        <w:rPr/>
      </w:pPr>
      <w:r>
        <w:t xml:space="preserve">For financial capability, should a credit rating held by the developer, project company or a financially supporting parent company be accepted, and what evidence should demonstrate that parent-company support is committed to the relevant project?</w:t>
      </w:r>
      <w:r/>
    </w:p>
    <w:p w14:paraId="42922629"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087681541"/>
          <w:placeholder>
            <w:docPart w:val="2DF91A2EB6DD4AB5BDD868B927172522"/>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7BCED92B"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496E4480"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3C0EBBF7" w14:textId="6E14DBC0">
      <w:pPr>
        <w:pStyle w:val="1029"/>
        <w:numPr>
          <w:ilvl w:val="0"/>
          <w:numId w:val="29"/>
        </w:numPr>
        <w:pBdr/>
        <w:spacing/>
        <w:ind/>
        <w:rPr/>
      </w:pPr>
      <w:r>
        <w:t xml:space="preserve">Are investment grade credit ratings, BBB− from Standard &amp; Poor’s or Fitch and Baa3 from Moody’s, appropriate minimum ratings?</w:t>
      </w:r>
      <w:r/>
    </w:p>
    <w:p w14:paraId="1C4DD317"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210393270"/>
          <w:placeholder>
            <w:docPart w:val="542082566A274D728975A36EC5716BF8"/>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70A7E375"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73CDF1FE"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5A73F85B" w14:textId="57E7CA84">
      <w:pPr>
        <w:pStyle w:val="1029"/>
        <w:numPr>
          <w:ilvl w:val="0"/>
          <w:numId w:val="29"/>
        </w:numPr>
        <w:pBdr/>
        <w:spacing/>
        <w:ind/>
        <w:rPr/>
      </w:pPr>
      <w:r>
        <w:t xml:space="preserve">What alternative forms of credit support should be accepted, including letters of credit, cash deposits, collateral, committed financing facilities or other equivalent security?</w:t>
      </w:r>
      <w:r/>
    </w:p>
    <w:p w14:paraId="2E0BA409"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843356034"/>
          <w:placeholder>
            <w:docPart w:val="1202267C258E4FDDBF76D4A20D8DFD96"/>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0FA0B31B"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2303D160"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2C2F285F" w14:textId="139BBE66">
      <w:pPr>
        <w:pStyle w:val="1029"/>
        <w:numPr>
          <w:ilvl w:val="0"/>
          <w:numId w:val="29"/>
        </w:numPr>
        <w:pBdr/>
        <w:spacing/>
        <w:ind/>
        <w:rPr/>
      </w:pPr>
      <w:r>
        <w:t xml:space="preserve">Should the amount of credit support be linked to the project’s capacity, expected capital cost, remaining development expenditure or another measure, and how should it be calibrated?</w:t>
      </w:r>
      <w:r/>
    </w:p>
    <w:p w14:paraId="282CA060"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95585457"/>
          <w:placeholder>
            <w:docPart w:val="C89456BA97794014BBE713475EF49208"/>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531150E0"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5A587E96"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318B8756" w14:textId="73183F15">
      <w:pPr>
        <w:pStyle w:val="1029"/>
        <w:numPr>
          <w:ilvl w:val="0"/>
          <w:numId w:val="29"/>
        </w:numPr>
        <w:pBdr/>
        <w:spacing/>
        <w:ind/>
        <w:rPr/>
      </w:pPr>
      <w:r>
        <w:t xml:space="preserve">Do you agree that evidence relating to EN 50600, TIA-942 or Tier Certification of Design Documents should satisfy the proposed technical capability requirement at M6.Dc? Are there other standards or certifications that should be accepted, and why?</w:t>
      </w:r>
      <w:r/>
    </w:p>
    <w:p w14:paraId="50D3ACBB"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724263269"/>
          <w:placeholder>
            <w:docPart w:val="9F49067DA8B141488B010943D2B789F9"/>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63966E81"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1D1A2C46"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68F0D51E" w14:textId="44914081">
      <w:pPr>
        <w:pStyle w:val="1029"/>
        <w:numPr>
          <w:ilvl w:val="0"/>
          <w:numId w:val="29"/>
        </w:numPr>
        <w:pBdr/>
        <w:spacing/>
        <w:ind/>
        <w:rPr/>
      </w:pPr>
      <w:r>
        <w:t xml:space="preserve">If you don’t agree with our proposed technical and financial capability tests, how would you change them? What other financial and technical capability tests could we use?</w:t>
      </w:r>
      <w:r/>
    </w:p>
    <w:p w14:paraId="7A2CD2C3"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93236264"/>
          <w:placeholder>
            <w:docPart w:val="CD4BD01474B04B6F9BE68D061B77B76E"/>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249E6E24"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6CF412BF"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1461B217" w14:textId="270B7DCD">
      <w:pPr>
        <w:pStyle w:val="1029"/>
        <w:numPr>
          <w:ilvl w:val="0"/>
          <w:numId w:val="29"/>
        </w:numPr>
        <w:pBdr/>
        <w:spacing/>
        <w:ind/>
        <w:rPr/>
      </w:pPr>
      <w:r>
        <w:t xml:space="preserve">Do you agree with our proposal to structure the data centre qu</w:t>
      </w:r>
      <w:r>
        <w:t xml:space="preserve">eue management milestones framework around distinct Self-operation and Lease or Sale Pathways? Please explain whether the proposed pathways accurately reflect data centre business models and identify any models that would not be appropriately accommodated.</w:t>
      </w:r>
      <w:r/>
    </w:p>
    <w:p w14:paraId="02F9C9C4"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2102983309"/>
          <w:placeholder>
            <w:docPart w:val="49340375C51943B791BB62E7630B2017"/>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43BE1A87"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6F0C7AF8"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5B5ED8AA" w14:textId="74F668B0">
      <w:pPr>
        <w:pStyle w:val="1029"/>
        <w:numPr>
          <w:ilvl w:val="0"/>
          <w:numId w:val="29"/>
        </w:numPr>
        <w:pBdr/>
        <w:spacing/>
        <w:ind/>
        <w:rPr/>
      </w:pPr>
      <w:r>
        <w:t xml:space="preserve">Do you agree with our proposed timing for each</w:t>
      </w:r>
      <w:r>
        <w:t xml:space="preserve"> evidence requirement, including pathway selection and MoU at M0.5.Dc, long-lead procurement at M2.Dc and firm compute offtaker evidence at M6.Dc? Please provide evidence on when viable, non-speculative projects can ordinarily supply each form of evidence.</w:t>
      </w:r>
      <w:r/>
    </w:p>
    <w:p w14:paraId="60AAD855"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038510524"/>
          <w:placeholder>
            <w:docPart w:val="7ADCF368F2364D00B7862ECFD9528CA8"/>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153A2845"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7327AE6A" w14:textId="77777777">
      <w:pPr>
        <w:pStyle w:val="1004"/>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p w14:paraId="771652EA">
      <w:pPr>
        <w:pBdr/>
        <w:shd w:val="nil"/>
        <w:spacing/>
        <w:ind/>
        <w:rPr>
          <w:rFonts w:asciiTheme="minorHAnsi" w:hAnsiTheme="minorHAnsi" w:eastAsiaTheme="minorEastAsia"/>
          <w:sz w:val="24"/>
          <w:szCs w:val="24"/>
        </w:rPr>
      </w:pPr>
      <w:r>
        <w:rPr>
          <w:highlight w:val="none"/>
        </w:rPr>
        <w:br w:type="page" w:clear="all"/>
      </w:r>
      <w:r>
        <w:rPr>
          <w:highlight w:val="none"/>
        </w:rPr>
      </w:r>
      <w:r>
        <w:rPr>
          <w:highlight w:val="none"/>
        </w:rPr>
      </w:r>
    </w:p>
    <w:p w14:paraId="6A056757" w14:textId="3E125573">
      <w:pPr>
        <w:pStyle w:val="1004"/>
        <w:pBdr/>
        <w:spacing/>
        <w:ind/>
        <w:rPr>
          <w:rFonts w:asciiTheme="minorHAnsi" w:hAnsiTheme="minorHAnsi" w:eastAsiaTheme="minorEastAsia"/>
          <w:highlight w:val="none"/>
        </w:rPr>
      </w:pPr>
      <w:r>
        <w:t xml:space="preserve">Data Centre Queue Management Milestones: Implementation </w:t>
      </w:r>
      <w:r>
        <w:rPr>
          <w:rFonts w:asciiTheme="minorHAnsi" w:hAnsiTheme="minorHAnsi" w:eastAsiaTheme="minorEastAsia"/>
          <w:sz w:val="24"/>
          <w:szCs w:val="24"/>
        </w:rPr>
      </w:r>
      <w:r>
        <w:rPr>
          <w:rFonts w:asciiTheme="minorHAnsi" w:hAnsiTheme="minorHAnsi" w:eastAsiaTheme="minorEastAsia"/>
          <w:sz w:val="24"/>
          <w:szCs w:val="24"/>
        </w:rPr>
      </w:r>
    </w:p>
    <w:p w14:paraId="0676817D" w14:textId="4659046D">
      <w:pPr>
        <w:pStyle w:val="1029"/>
        <w:numPr>
          <w:ilvl w:val="0"/>
          <w:numId w:val="29"/>
        </w:numPr>
        <w:pBdr/>
        <w:spacing/>
        <w:ind/>
        <w:rPr/>
      </w:pPr>
      <w:r>
        <w:t xml:space="preserve">Do you agree with our options for the thresholds at which the data centre queue management milestones are implemented, and do you agree with our proposed threshold of 10 MW rated IT load?</w:t>
      </w:r>
      <w:r/>
    </w:p>
    <w:p w14:paraId="0B5241A0" w14:textId="7350C7E9">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Please provide your reasoning and supporting evidence.</w:t>
      </w:r>
      <w:r>
        <w:rPr>
          <w:rFonts w:asciiTheme="minorHAnsi" w:hAnsiTheme="minorHAnsi" w:eastAsiaTheme="minorEastAsia" w:cstheme="minorBidi"/>
        </w:rPr>
      </w:r>
    </w:p>
    <w:p w14:paraId="6DAC5539"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No view on the specific threshold (see response)</w:t>
      </w:r>
      <w:r>
        <w:rPr>
          <w:rFonts w:asciiTheme="minorHAnsi" w:hAnsiTheme="minorHAnsi" w:eastAsiaTheme="minorEastAsia" w:cstheme="minorBidi"/>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have no independent evidence on the milestones framework itself, including the proposed options or the specific 10MW figure. We offer no view on either.</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For Ofgem’s awareness: our response on the 40MW threshold above notes that this fee’s own 40MW threshold is defined in grid connection capacity, while the mi</w:t>
      </w:r>
      <w:r>
        <w:rPr>
          <w:rFonts w:asciiTheme="minorHAnsi" w:hAnsiTheme="minorHAnsi" w:eastAsiaTheme="minorEastAsia"/>
          <w:sz w:val="24"/>
          <w:szCs w:val="24"/>
        </w:rPr>
        <w:t xml:space="preserve">lestones threshold here is defined in rated IT load; a different measure entirely. A project could land on different sides of these two thresholds purely because of which capacity measure applies, not because of any real difference in scale or grid impact.</w:t>
      </w:r>
      <w:r>
        <w:rPr>
          <w:rFonts w:asciiTheme="minorHAnsi" w:hAnsiTheme="minorHAnsi" w:eastAsiaTheme="minorEastAsia"/>
          <w:sz w:val="24"/>
          <w:szCs w:val="24"/>
        </w:rPr>
      </w:r>
    </w:p>
    <w:p>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We take no position on the milestones framework itself. We’d encourage Ofgem to clarify, across both mechanisms, why each uses the basis it does.</w:t>
      </w:r>
      <w:r>
        <w:rPr>
          <w:rFonts w:asciiTheme="minorHAnsi" w:hAnsiTheme="minorHAnsi" w:eastAsiaTheme="minorEastAsia"/>
          <w:sz w:val="24"/>
          <w:szCs w:val="24"/>
        </w:rPr>
      </w:r>
    </w:p>
    <w:p w14:paraId="66762C87"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06A348F" w14:textId="162AC3B8">
      <w:pPr>
        <w:pStyle w:val="1029"/>
        <w:numPr>
          <w:ilvl w:val="0"/>
          <w:numId w:val="29"/>
        </w:numPr>
        <w:pBdr/>
        <w:spacing/>
        <w:ind/>
        <w:rPr/>
      </w:pPr>
      <w:r>
        <w:t xml:space="preserve">Do you agree that the</w:t>
      </w:r>
      <w:r>
        <w:t xml:space="preserve"> data centre queue management milestones should apply to relevant projects connecting at both transmission and distribution? Please explain whether any differences between the transmission and distribution connection processes require a different approach.</w:t>
      </w:r>
      <w:r/>
    </w:p>
    <w:p w14:paraId="056F14B7"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2013800751"/>
          <w:placeholder>
            <w:docPart w:val="389064CC41A24D52BABA5A23E34B9D0A"/>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117A5DE4"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1E70B5A6"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75EFB8FA" w14:textId="54F43377">
      <w:pPr>
        <w:pStyle w:val="1029"/>
        <w:numPr>
          <w:ilvl w:val="0"/>
          <w:numId w:val="29"/>
        </w:numPr>
        <w:pBdr/>
        <w:spacing/>
        <w:ind/>
        <w:rPr/>
      </w:pPr>
      <w:r>
        <w:t xml:space="preserve">Do you agree with the proposed approach to applying the data centre queue management milestones to existing and future projects? Please identify any circumstances in which different treatment would be appropriate.</w:t>
      </w:r>
      <w:r/>
    </w:p>
    <w:p w14:paraId="08983328"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74852535"/>
          <w:placeholder>
            <w:docPart w:val="03DC6804710645AB85DED8D3EE2BFB1D"/>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51EF296C"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5F14EE4C"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8ABA8D0" w14:textId="4E7555DC">
      <w:pPr>
        <w:pStyle w:val="1029"/>
        <w:numPr>
          <w:ilvl w:val="0"/>
          <w:numId w:val="29"/>
        </w:numPr>
        <w:pBdr/>
        <w:spacing/>
        <w:ind/>
        <w:rPr/>
      </w:pPr>
      <w:r>
        <w:t xml:space="preserve">Do you agree with the proposed approach to the submission, assessment and ongoing validity of milestone evidence? In particular, what process should apply where evidence is incomplete, has expired, is no longer effective or needs to be replaced?</w:t>
      </w:r>
      <w:r/>
    </w:p>
    <w:p w14:paraId="4C78139F"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2034921653"/>
          <w:placeholder>
            <w:docPart w:val="2F7F0CE948754859A4ED351986306DB7"/>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35958F5B"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45A972AC"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7B2376F6" w14:textId="028AA936">
      <w:pPr>
        <w:pStyle w:val="1029"/>
        <w:numPr>
          <w:ilvl w:val="0"/>
          <w:numId w:val="29"/>
        </w:numPr>
        <w:pBdr/>
        <w:spacing/>
        <w:ind/>
        <w:rPr/>
      </w:pPr>
      <w:r>
        <w:t xml:space="preserve">Do you agree that failure to provide satisfactory evidenc</w:t>
      </w:r>
      <w:r>
        <w:t xml:space="preserve">e by the applicable deadline should result in the project being treated as having failed the relevant queue management milestone? Please identify any circumstances in which a project should instead be allowed to remedy the failure, and how this could work.</w:t>
      </w:r>
      <w:r/>
    </w:p>
    <w:p w14:paraId="1A97BBF2"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461934415"/>
          <w:placeholder>
            <w:docPart w:val="C5A9D5A25C0646FA9AE47C6188153583"/>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4A120110"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2FBFADF6"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54F9E0AC" w14:textId="5CCA6051">
      <w:pPr>
        <w:pStyle w:val="1029"/>
        <w:numPr>
          <w:ilvl w:val="0"/>
          <w:numId w:val="29"/>
        </w:numPr>
        <w:pBdr/>
        <w:spacing/>
        <w:ind/>
        <w:rPr/>
      </w:pPr>
      <w:r>
        <w:t xml:space="preserve">Do you agree with our proposed exemptions and transitional arrangements for existing data centre projects? Please identify any circumstances in which a different exemption or transitional period would be appropriate.</w:t>
      </w:r>
      <w:r/>
    </w:p>
    <w:p w14:paraId="112D0DF7"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240490669"/>
          <w:placeholder>
            <w:docPart w:val="46D58BEE5EB244CD83F33681FB49681A"/>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087D6A4A"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r>
        <w:rPr>
          <w:rFonts w:asciiTheme="minorHAnsi" w:hAnsiTheme="minorHAnsi" w:eastAsiaTheme="minorEastAsia"/>
          <w:sz w:val="24"/>
          <w:szCs w:val="24"/>
        </w:rPr>
      </w:r>
    </w:p>
    <w:p w14:paraId="4E635D24" w14:textId="7777777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3E344224" w14:textId="531BB0E5">
      <w:pPr>
        <w:pStyle w:val="1004"/>
        <w:pBdr/>
        <w:spacing/>
        <w:ind/>
        <w:rPr>
          <w:rFonts w:asciiTheme="minorHAnsi" w:hAnsiTheme="minorHAnsi" w:eastAsiaTheme="minorEastAsia"/>
          <w:b/>
          <w:bCs/>
          <w:sz w:val="24"/>
          <w:szCs w:val="24"/>
        </w:rPr>
      </w:pPr>
      <w:r>
        <w:t xml:space="preserve">Statutory Duties and Associated Legal Responsibilities</w:t>
      </w:r>
      <w:r>
        <w:rPr>
          <w:rFonts w:asciiTheme="minorHAnsi" w:hAnsiTheme="minorHAnsi" w:eastAsiaTheme="minorEastAsia"/>
          <w:b/>
          <w:bCs/>
          <w:sz w:val="24"/>
          <w:szCs w:val="24"/>
        </w:rPr>
      </w:r>
      <w:r>
        <w:rPr>
          <w:rFonts w:asciiTheme="minorHAnsi" w:hAnsiTheme="minorHAnsi" w:eastAsiaTheme="minorEastAsia"/>
          <w:b/>
          <w:bCs/>
          <w:sz w:val="24"/>
          <w:szCs w:val="24"/>
        </w:rPr>
      </w:r>
    </w:p>
    <w:p w14:paraId="3D704119" w14:textId="08045CAB">
      <w:pPr>
        <w:pStyle w:val="1029"/>
        <w:numPr>
          <w:ilvl w:val="0"/>
          <w:numId w:val="29"/>
        </w:numPr>
        <w:pBdr/>
        <w:spacing/>
        <w:ind/>
        <w:rPr/>
      </w:pPr>
      <w:r>
        <w:t xml:space="preserve">Do you agree that</w:t>
      </w:r>
      <w:r>
        <w:rPr>
          <w:rFonts w:ascii="Arial" w:hAnsi="Arial" w:cs="Arial"/>
        </w:rPr>
        <w:t xml:space="preserve"> </w:t>
      </w:r>
      <w:r>
        <w:t xml:space="preserve">the proposed legal text changes as set out in the ancillary documents give effect to the policy intent</w:t>
      </w:r>
      <w:r>
        <w:rPr>
          <w:rFonts w:ascii="Arial" w:hAnsi="Arial" w:cs="Arial"/>
        </w:rPr>
        <w:t xml:space="preserve"> </w:t>
      </w:r>
      <w:r>
        <w:t xml:space="preserve">as set out in this consultation?</w:t>
      </w:r>
      <w:r/>
    </w:p>
    <w:p w14:paraId="402D497C" w14:textId="77777777">
      <w:pPr>
        <w:pStyle w:val="1047"/>
        <w:numPr>
          <w:ilvl w:val="0"/>
          <w:numId w:val="0"/>
        </w:numPr>
        <w:pBdr/>
        <w:spacing/>
        <w:ind w:left="785"/>
        <w:rPr>
          <w:rFonts w:asciiTheme="minorHAnsi" w:hAnsiTheme="minorHAnsi" w:eastAsiaTheme="minorEastAsia" w:cstheme="minorBidi"/>
        </w:rPr>
      </w:pPr>
      <w:r/>
      <w:bookmarkStart w:id="5" w:name="_Hlk189219683"/>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2468EF04"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620993203"/>
          <w:placeholder>
            <w:docPart w:val="398CDF952B4A4C9DAB65F169322A070A"/>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68A6458A"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bookmarkEnd w:id="5"/>
      <w:r>
        <w:rPr>
          <w:rFonts w:asciiTheme="minorHAnsi" w:hAnsiTheme="minorHAnsi" w:eastAsiaTheme="minorEastAsia"/>
          <w:sz w:val="24"/>
          <w:szCs w:val="24"/>
        </w:rPr>
      </w:r>
      <w:r>
        <w:rPr>
          <w:rFonts w:asciiTheme="minorHAnsi" w:hAnsiTheme="minorHAnsi" w:eastAsiaTheme="minorEastAsia"/>
          <w:sz w:val="24"/>
          <w:szCs w:val="24"/>
        </w:rPr>
      </w:r>
    </w:p>
    <w:p w14:paraId="1C83DB02" w14:textId="592BF097">
      <w:pPr>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cstheme="minorBidi"/>
        </w:rPr>
      </w:pPr>
      <w:r>
        <w:rPr>
          <w:rFonts w:asciiTheme="minorHAnsi" w:hAnsiTheme="minorHAnsi" w:eastAsiaTheme="minorEastAsia" w:cstheme="minorBidi"/>
        </w:rPr>
      </w:r>
      <w:r>
        <w:rPr>
          <w:rFonts w:asciiTheme="minorHAnsi" w:hAnsiTheme="minorHAnsi" w:eastAsiaTheme="minorEastAsia" w:cstheme="minorBidi"/>
        </w:rPr>
      </w:r>
    </w:p>
    <w:p w14:paraId="02E421D4" w14:textId="1496DFFC">
      <w:pPr>
        <w:pStyle w:val="1029"/>
        <w:numPr>
          <w:ilvl w:val="0"/>
          <w:numId w:val="29"/>
        </w:numPr>
        <w:pBdr/>
        <w:spacing/>
        <w:ind/>
        <w:rPr>
          <w:rFonts w:asciiTheme="minorHAnsi" w:hAnsiTheme="minorHAnsi" w:eastAsiaTheme="minorEastAsia" w:cstheme="minorBidi"/>
        </w:rPr>
      </w:pPr>
      <w:r>
        <w:t xml:space="preserve">Do you have any suggestions</w:t>
      </w:r>
      <w:r>
        <w:rPr>
          <w:rFonts w:ascii="Arial" w:hAnsi="Arial" w:cs="Arial"/>
        </w:rPr>
        <w:t xml:space="preserve"> </w:t>
      </w:r>
      <w:r>
        <w:t xml:space="preserve">or comments</w:t>
      </w:r>
      <w:r>
        <w:rPr>
          <w:rFonts w:ascii="Arial" w:hAnsi="Arial" w:cs="Arial"/>
        </w:rPr>
        <w:t xml:space="preserve"> </w:t>
      </w:r>
      <w:r>
        <w:t xml:space="preserve">regarding</w:t>
      </w:r>
      <w:r>
        <w:rPr>
          <w:rFonts w:ascii="Arial" w:hAnsi="Arial" w:cs="Arial"/>
        </w:rPr>
        <w:t xml:space="preserve"> </w:t>
      </w:r>
      <w:r>
        <w:t xml:space="preserve">potential legal text changes to</w:t>
      </w:r>
      <w:r>
        <w:rPr>
          <w:rFonts w:ascii="Arial" w:hAnsi="Arial" w:cs="Arial"/>
        </w:rPr>
        <w:t xml:space="preserve"> </w:t>
      </w:r>
      <w:r>
        <w:t xml:space="preserve">regulatory documents that we</w:t>
      </w:r>
      <w:r>
        <w:rPr>
          <w:rFonts w:ascii="Arial" w:hAnsi="Arial" w:cs="Arial"/>
        </w:rPr>
        <w:t xml:space="preserve"> </w:t>
      </w:r>
      <w:r>
        <w:t xml:space="preserve">did</w:t>
      </w:r>
      <w:r>
        <w:rPr>
          <w:rFonts w:ascii="Arial" w:hAnsi="Arial" w:cs="Arial"/>
        </w:rPr>
        <w:t xml:space="preserve"> </w:t>
      </w:r>
      <w:r>
        <w:t xml:space="preserve">not consider?</w:t>
      </w:r>
      <w:r>
        <w:rPr>
          <w:rFonts w:asciiTheme="minorHAnsi" w:hAnsiTheme="minorHAnsi" w:eastAsiaTheme="minorEastAsia" w:cstheme="minorBidi"/>
        </w:rPr>
      </w:r>
      <w:r>
        <w:rPr>
          <w:rFonts w:asciiTheme="minorHAnsi" w:hAnsiTheme="minorHAnsi" w:eastAsiaTheme="minorEastAsia" w:cstheme="minorBidi"/>
        </w:rPr>
      </w:r>
    </w:p>
    <w:p w14:paraId="0BABE74A" w14:textId="77777777">
      <w:pPr>
        <w:pStyle w:val="1047"/>
        <w:numPr>
          <w:ilvl w:val="0"/>
          <w:numId w:val="0"/>
        </w:numPr>
        <w:pBdr/>
        <w:spacing/>
        <w:ind w:left="785"/>
        <w:rPr>
          <w:rFonts w:asciiTheme="minorHAnsi" w:hAnsiTheme="minorHAnsi" w:eastAsiaTheme="minorEastAsia" w:cstheme="minorBidi"/>
        </w:rPr>
      </w:pPr>
      <w:r/>
      <w:bookmarkStart w:id="6" w:name="_Hlk189219985"/>
      <w:r>
        <w:rPr>
          <w:rFonts w:asciiTheme="minorHAnsi" w:hAnsiTheme="minorHAnsi" w:eastAsiaTheme="minorEastAsia" w:cstheme="minorBidi"/>
        </w:rPr>
        <w:t xml:space="preserve">Please provide the reasons for your answer.</w:t>
      </w:r>
      <w:r>
        <w:rPr>
          <w:rFonts w:asciiTheme="minorHAnsi" w:hAnsiTheme="minorHAnsi" w:eastAsiaTheme="minorEastAsia" w:cstheme="minorBidi"/>
        </w:rPr>
      </w:r>
    </w:p>
    <w:p w14:paraId="5CD4A7DF" w14:textId="77777777">
      <w:pPr>
        <w:pStyle w:val="1047"/>
        <w:numPr>
          <w:ilvl w:val="0"/>
          <w:numId w:val="0"/>
        </w:numPr>
        <w:pBdr/>
        <w:spacing/>
        <w:ind w:left="785"/>
        <w:rPr>
          <w:rFonts w:asciiTheme="minorHAnsi" w:hAnsiTheme="minorHAnsi" w:eastAsiaTheme="minorEastAsia" w:cstheme="minorBidi"/>
        </w:rPr>
      </w:pPr>
      <w:r>
        <w:rPr>
          <w:rFonts w:asciiTheme="minorHAnsi" w:hAnsiTheme="minorHAnsi" w:eastAsiaTheme="minorEastAsia" w:cstheme="minorBidi"/>
        </w:rPr>
        <w:t xml:space="preserve">Yes/ No </w:t>
      </w:r>
      <w:sdt>
        <w:sdtPr>
          <w15:appearance w15:val="boundingBox"/>
          <w:id w:val="-1688210318"/>
          <w:placeholder>
            <w:docPart w:val="F11C26BBA2B14A70B5DE91091B557DB2"/>
          </w:placeholder>
          <w:showingPlcHdr w:val="true"/>
          <w:rPr>
            <w:rFonts w:asciiTheme="minorHAnsi" w:hAnsiTheme="minorHAnsi" w:eastAsiaTheme="minorEastAsia" w:cstheme="minorBidi"/>
          </w:rPr>
        </w:sdtPr>
        <w:sdtContent>
          <w:r>
            <w:rPr>
              <w:rStyle w:val="1077"/>
              <w:rFonts w:asciiTheme="minorHAnsi" w:hAnsiTheme="minorHAnsi" w:eastAsiaTheme="minorEastAsia" w:cstheme="minorBidi"/>
            </w:rPr>
            <w:t xml:space="preserve">Click or tap here to enter text.</w:t>
          </w:r>
        </w:sdtContent>
      </w:sdt>
      <w:r>
        <w:rPr>
          <w:rFonts w:asciiTheme="minorHAnsi" w:hAnsiTheme="minorHAnsi" w:eastAsiaTheme="minorEastAsia" w:cstheme="minorBidi"/>
        </w:rPr>
      </w:r>
      <w:r>
        <w:rPr>
          <w:rFonts w:asciiTheme="minorHAnsi" w:hAnsiTheme="minorHAnsi" w:eastAsiaTheme="minorEastAsia" w:cstheme="minorBidi"/>
        </w:rPr>
      </w:r>
    </w:p>
    <w:p w14:paraId="6538F35F"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t xml:space="preserve">[Write your response here]</w:t>
      </w:r>
      <w:bookmarkEnd w:id="6"/>
      <w:r>
        <w:rPr>
          <w:rFonts w:asciiTheme="minorHAnsi" w:hAnsiTheme="minorHAnsi" w:eastAsiaTheme="minorEastAsia"/>
          <w:sz w:val="24"/>
          <w:szCs w:val="24"/>
        </w:rPr>
      </w:r>
      <w:r>
        <w:rPr>
          <w:rFonts w:asciiTheme="minorHAnsi" w:hAnsiTheme="minorHAnsi" w:eastAsiaTheme="minorEastAsia"/>
          <w:sz w:val="24"/>
          <w:szCs w:val="24"/>
        </w:rPr>
      </w:r>
    </w:p>
    <w:p w14:paraId="54DD69CA" w14:textId="77777777">
      <w:pPr>
        <w:pStyle w:val="1039"/>
        <w:pBdr>
          <w:top w:val="single" w:color="000000" w:sz="8" w:space="1"/>
          <w:left w:val="single" w:color="000000" w:sz="8" w:space="0"/>
          <w:bottom w:val="single" w:color="000000" w:sz="8" w:space="1"/>
          <w:right w:val="single" w:color="000000" w:sz="8" w:space="4"/>
        </w:pBdr>
        <w:spacing/>
        <w:ind w:left="785"/>
        <w:rPr>
          <w:rFonts w:asciiTheme="minorHAnsi" w:hAnsiTheme="minorHAnsi" w:eastAsiaTheme="minorEastAsia"/>
          <w:sz w:val="24"/>
          <w:szCs w:val="24"/>
        </w:rPr>
      </w:pPr>
      <w:r>
        <w:rPr>
          <w:rFonts w:asciiTheme="minorHAnsi" w:hAnsiTheme="minorHAnsi" w:eastAsiaTheme="minorEastAsia"/>
          <w:sz w:val="24"/>
          <w:szCs w:val="24"/>
        </w:rPr>
      </w:r>
      <w:r>
        <w:rPr>
          <w:rFonts w:asciiTheme="minorHAnsi" w:hAnsiTheme="minorHAnsi" w:eastAsiaTheme="minorEastAsia"/>
          <w:sz w:val="24"/>
          <w:szCs w:val="24"/>
        </w:rPr>
      </w:r>
    </w:p>
    <w:sectPr>
      <w:headerReference w:type="default" r:id="rId10"/>
      <w:headerReference w:type="even" r:id="rId11"/>
      <w:headerReference w:type="first" r:id="rId12"/>
      <w:footerReference w:type="default" r:id="rId13"/>
      <w:footerReference w:type="even" r:id="rId14"/>
      <w:footerReference w:type="first" r:id="rId15"/>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89866EF" w14:textId="77777777">
      <w:pPr>
        <w:pBdr/>
        <w:spacing w:after="0" w:line="240" w:lineRule="auto"/>
        <w:ind/>
        <w:rPr/>
      </w:pPr>
      <w:r>
        <w:separator/>
      </w:r>
      <w:r/>
    </w:p>
  </w:endnote>
  <w:endnote w:type="continuationSeparator" w:id="0">
    <w:p w14:paraId="07C5E14B" w14:textId="77777777">
      <w:pPr>
        <w:pBdr/>
        <w:spacing w:after="0" w:line="240" w:lineRule="auto"/>
        <w:ind/>
        <w:rPr/>
      </w:pPr>
      <w:r>
        <w:continuationSeparator/>
      </w:r>
      <w:r/>
    </w:p>
  </w:endnote>
  <w:endnote w:type="continuationNotice" w:id="1">
    <w:p w14:paraId="11EF78A1"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Times New Roman">
    <w:panose1 w:val="02020603050405020304"/>
  </w:font>
  <w:font w:name="Verdana">
    <w:panose1 w:val="020B0604030504040204"/>
  </w:font>
  <w:font w:name="Symbol">
    <w:panose1 w:val="05050102010706020507"/>
  </w:font>
  <w:font w:name="Poppins">
    <w:panose1 w:val="00000500000000000000"/>
  </w:font>
  <w:font w:name="Segoe UI">
    <w:panose1 w:val="020B0502040204020203"/>
  </w:font>
  <w:font w:name="Aptos Narrow">
    <w:panose1 w:val="020B0004020202020204"/>
  </w:font>
  <w:font w:name="Calibri">
    <w:panose1 w:val="020F0502020204030204"/>
  </w:font>
  <w:font w:name="Aptos">
    <w:panose1 w:val="020B0004020202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23701065"/>
      <w:docPartObj>
        <w:docPartGallery w:val="Page Numbers (Bottom of Page)"/>
        <w:docPartUnique w:val="true"/>
      </w:docPartObj>
      <w:rPr/>
    </w:sdtPr>
    <w:sdtContent>
      <w:p w14:paraId="00C54B56" w14:textId="21179196">
        <w:pPr>
          <w:pStyle w:val="1036"/>
          <w:pBdr/>
          <w:spacing/>
          <w:ind/>
          <w:jc w:val="right"/>
          <w:rPr/>
        </w:pPr>
        <w:r>
          <w:fldChar w:fldCharType="begin"/>
        </w:r>
        <w:r>
          <w:instrText xml:space="preserve"> PAGE   \* MERGEFORMAT </w:instrText>
        </w:r>
        <w:r>
          <w:fldChar w:fldCharType="separate"/>
        </w:r>
        <w:r>
          <w:t xml:space="preserve">2</w:t>
        </w:r>
        <w: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7330462" w14:textId="773E4C03">
    <w:pPr>
      <w:pStyle w:val="1036"/>
      <w:pBdr/>
      <w:spacing/>
      <w:ind/>
      <w:jc w:val="center"/>
      <w:rPr/>
    </w:pPr>
    <w:r/>
    <w:fldSimple w:instr="REF bjFooterEvenPageDocProperty \* MERGEFORMAT">
      <w:r>
        <w:rPr>
          <w:rFonts w:ascii="Verdana" w:hAnsi="Verdana"/>
          <w:color w:val="000000"/>
          <w:sz w:val="20"/>
          <w:szCs w:val="20"/>
        </w:rPr>
        <w:t xml:space="preserve">Internal Only</w:t>
      </w:r>
    </w:fldSimple>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74BE2D1" w14:textId="52582F0D">
    <w:pPr>
      <w:pStyle w:val="1036"/>
      <w:pBdr/>
      <w:spacing/>
      <w:ind/>
      <w:jc w:val="center"/>
      <w:rPr/>
    </w:pPr>
    <w:r/>
    <w:fldSimple w:instr="REF bjFooterFirstPageDocProperty \* MERGEFORMAT">
      <w:r>
        <w:rPr>
          <w:rFonts w:ascii="Verdana" w:hAnsi="Verdana"/>
          <w:color w:val="000000"/>
          <w:sz w:val="20"/>
          <w:szCs w:val="20"/>
        </w:rPr>
        <w:t xml:space="preserve">Internal Only</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AD56F92" w14:textId="77777777">
      <w:pPr>
        <w:pBdr/>
        <w:spacing w:after="0" w:line="240" w:lineRule="auto"/>
        <w:ind/>
        <w:rPr/>
      </w:pPr>
      <w:r>
        <w:separator/>
      </w:r>
      <w:r/>
    </w:p>
  </w:footnote>
  <w:footnote w:type="continuationSeparator" w:id="0">
    <w:p w14:paraId="76EBE015" w14:textId="77777777">
      <w:pPr>
        <w:pBdr/>
        <w:spacing w:after="0" w:line="240" w:lineRule="auto"/>
        <w:ind/>
        <w:rPr/>
      </w:pPr>
      <w:r>
        <w:continuationSeparator/>
      </w:r>
      <w:r/>
    </w:p>
  </w:footnote>
  <w:footnote w:type="continuationNotice" w:id="1">
    <w:p w14:paraId="76C808D1"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E2913F6" w14:textId="3C9DAC7A">
    <w:pPr>
      <w:pStyle w:val="1034"/>
      <w:pBdr/>
      <w:spacing/>
      <w:ind/>
      <w:rPr/>
    </w:pPr>
    <w:r>
      <w:t xml:space="preserve">Curate Consultation</w:t>
    </w:r>
    <w:r>
      <w:t xml:space="preserve"> Response Template</w:t>
    </w:r>
    <w:r>
      <w:rPr>
        <w:lang w:eastAsia="en-GB"/>
      </w:rPr>
      <mc:AlternateContent>
        <mc:Choice Requires="wpg">
          <w:drawing>
            <wp:inline xmlns:wp="http://schemas.openxmlformats.org/drawingml/2006/wordprocessingDrawing" distT="0" distB="0" distL="0" distR="0">
              <wp:extent cx="1439186" cy="828530"/>
              <wp:effectExtent l="0" t="0" r="8890" b="0"/>
              <wp:docPr id="1" name="Picture 181621505" descr="Ofgem logo" title="Ofgem - making a positive difference for energy consu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GEM-LOGO.jpg"/>
                      <pic:cNvPicPr>
                        <a:picLocks noChangeAspect="1"/>
                      </pic:cNvPicPr>
                      <pic:nvPr/>
                    </pic:nvPicPr>
                    <pic:blipFill rotWithShape="1">
                      <a:blip r:embed="rId1"/>
                      <a:srcRect l="0" t="0" r="7379" b="8227"/>
                      <a:stretch/>
                    </pic:blipFill>
                    <pic:spPr bwMode="auto">
                      <a:xfrm>
                        <a:off x="0" y="0"/>
                        <a:ext cx="1440441" cy="829253"/>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3.32pt;height:65.24pt;mso-wrap-distance-left:0.00pt;mso-wrap-distance-top:0.00pt;mso-wrap-distance-right:0.00pt;mso-wrap-distance-bottom:0.00pt;z-index:1;" stroked="f">
              <v:imagedata r:id="rId1" o:title="" croptop="0f" cropleft="0f" cropbottom="5392f" cropright="4836f"/>
              <o:lock v:ext="edit" rotation="t"/>
            </v:shape>
          </w:pict>
        </mc:Fallback>
      </mc:AlternateContent>
    </w:r>
    <w:r>
      <w:t xml:space="preserve"> </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CA5B96C" w14:textId="7E3700DC">
    <w:pPr>
      <w:pStyle w:val="1034"/>
      <w:pBdr/>
      <w:spacing/>
      <w:ind/>
      <w:jc w:val="center"/>
      <w:rPr/>
    </w:pPr>
    <w:r/>
    <w:fldSimple w:instr="REF bjHeaderEvenPageDocProperty \* MERGEFORMAT">
      <w:r>
        <w:rPr>
          <w:rFonts w:ascii="Verdana" w:hAnsi="Verdana"/>
          <w:color w:val="000000"/>
          <w:sz w:val="20"/>
          <w:szCs w:val="20"/>
        </w:rPr>
        <w:t xml:space="preserve">Internal Only</w:t>
      </w:r>
    </w:fldSimple>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D5E94DC" w14:textId="35C3C182">
    <w:pPr>
      <w:pStyle w:val="1034"/>
      <w:pBdr/>
      <w:spacing/>
      <w:ind/>
      <w:jc w:val="center"/>
      <w:rPr/>
    </w:pPr>
    <w:r/>
    <w:fldSimple w:instr="REF bjHeaderFirstPageDocProperty \* MERGEFORMAT">
      <w:r>
        <w:rPr>
          <w:rFonts w:ascii="Verdana" w:hAnsi="Verdana"/>
          <w:color w:val="000000"/>
          <w:sz w:val="20"/>
          <w:szCs w:val="20"/>
        </w:rPr>
        <w:t xml:space="preserve">Internal Only</w:t>
      </w:r>
    </w:fldSimple>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E513E"/>
    <w:lvl w:ilvl="0">
      <w:isLgl w:val="false"/>
      <w:lvlJc w:val="left"/>
      <w:lvlText w:val="%1."/>
      <w:numFmt w:val="decimal"/>
      <w:pPr>
        <w:pBdr/>
        <w:spacing/>
        <w:ind w:hanging="360" w:left="785"/>
      </w:pPr>
      <w:rPr>
        <w:sz w:val="18"/>
        <w:szCs w:val="18"/>
      </w:rPr>
      <w:start w:val="1"/>
      <w:suff w:val="tab"/>
    </w:lvl>
    <w:lvl w:ilvl="1">
      <w:isLgl w:val="false"/>
      <w:lvlJc w:val="left"/>
      <w:lvlText w:val="%2."/>
      <w:numFmt w:val="lowerLetter"/>
      <w:pPr>
        <w:pBdr/>
        <w:spacing/>
        <w:ind w:hanging="360" w:left="1508"/>
      </w:pPr>
      <w:rPr/>
      <w:start w:val="1"/>
      <w:suff w:val="tab"/>
    </w:lvl>
    <w:lvl w:ilvl="2">
      <w:isLgl w:val="false"/>
      <w:lvlJc w:val="right"/>
      <w:lvlText w:val="%3."/>
      <w:numFmt w:val="lowerRoman"/>
      <w:pPr>
        <w:pBdr/>
        <w:spacing/>
        <w:ind w:hanging="180" w:left="2228"/>
      </w:pPr>
      <w:rPr/>
      <w:start w:val="1"/>
      <w:suff w:val="tab"/>
    </w:lvl>
    <w:lvl w:ilvl="3">
      <w:isLgl w:val="false"/>
      <w:lvlJc w:val="left"/>
      <w:lvlText w:val="%4."/>
      <w:numFmt w:val="decimal"/>
      <w:pPr>
        <w:pBdr/>
        <w:spacing/>
        <w:ind w:hanging="360" w:left="2948"/>
      </w:pPr>
      <w:rPr/>
      <w:start w:val="1"/>
      <w:suff w:val="tab"/>
    </w:lvl>
    <w:lvl w:ilvl="4">
      <w:isLgl w:val="false"/>
      <w:lvlJc w:val="left"/>
      <w:lvlText w:val="%5."/>
      <w:numFmt w:val="lowerLetter"/>
      <w:pPr>
        <w:pBdr/>
        <w:spacing/>
        <w:ind w:hanging="360" w:left="3668"/>
      </w:pPr>
      <w:rPr/>
      <w:start w:val="1"/>
      <w:suff w:val="tab"/>
    </w:lvl>
    <w:lvl w:ilvl="5">
      <w:isLgl w:val="false"/>
      <w:lvlJc w:val="right"/>
      <w:lvlText w:val="%6."/>
      <w:numFmt w:val="lowerRoman"/>
      <w:pPr>
        <w:pBdr/>
        <w:spacing/>
        <w:ind w:hanging="180" w:left="4388"/>
      </w:pPr>
      <w:rPr/>
      <w:start w:val="1"/>
      <w:suff w:val="tab"/>
    </w:lvl>
    <w:lvl w:ilvl="6">
      <w:isLgl w:val="false"/>
      <w:lvlJc w:val="left"/>
      <w:lvlText w:val="%7."/>
      <w:numFmt w:val="decimal"/>
      <w:pPr>
        <w:pBdr/>
        <w:spacing/>
        <w:ind w:hanging="360" w:left="5108"/>
      </w:pPr>
      <w:rPr/>
      <w:start w:val="1"/>
      <w:suff w:val="tab"/>
    </w:lvl>
    <w:lvl w:ilvl="7">
      <w:isLgl w:val="false"/>
      <w:lvlJc w:val="left"/>
      <w:lvlText w:val="%8."/>
      <w:numFmt w:val="lowerLetter"/>
      <w:pPr>
        <w:pBdr/>
        <w:spacing/>
        <w:ind w:hanging="360" w:left="5828"/>
      </w:pPr>
      <w:rPr/>
      <w:start w:val="1"/>
      <w:suff w:val="tab"/>
    </w:lvl>
    <w:lvl w:ilvl="8">
      <w:isLgl w:val="false"/>
      <w:lvlJc w:val="right"/>
      <w:lvlText w:val="%9."/>
      <w:numFmt w:val="lowerRoman"/>
      <w:pPr>
        <w:pBdr/>
        <w:spacing/>
        <w:ind w:hanging="180" w:left="6548"/>
      </w:pPr>
      <w:rPr/>
      <w:start w:val="1"/>
      <w:suff w:val="tab"/>
    </w:lvl>
  </w:abstractNum>
  <w:abstractNum w:abstractNumId="1">
    <w:nsid w:val="09E6669F"/>
    <w:lvl w:ilvl="0">
      <w:isLgl w:val="false"/>
      <w:lvlJc w:val="left"/>
      <w:lvlText w:val="Appendix %1."/>
      <w:numFmt w:val="decimal"/>
      <w:pPr>
        <w:pBdr/>
        <w:spacing/>
        <w:ind w:hanging="720" w:left="862"/>
      </w:pPr>
      <w:pStyle w:val="1052"/>
      <w:rPr>
        <w:rFonts w:hint="default"/>
      </w:rPr>
      <w:start w:val="1"/>
      <w:suff w:val="tab"/>
    </w:lvl>
    <w:lvl w:ilvl="1">
      <w:isLgl w:val="false"/>
      <w:lvlJc w:val="left"/>
      <w:lvlText w:val="A%1.%2"/>
      <w:numFmt w:val="decimal"/>
      <w:pPr>
        <w:pBdr/>
        <w:spacing/>
        <w:ind w:hanging="851" w:left="993"/>
      </w:pPr>
      <w:pStyle w:val="1053"/>
      <w:rPr>
        <w:rFonts w:hint="default"/>
      </w:rPr>
      <w:start w:val="1"/>
      <w:suff w:val="tab"/>
    </w:lvl>
    <w:lvl w:ilvl="2">
      <w:isLgl w:val="false"/>
      <w:lvlJc w:val="left"/>
      <w:lvlText w:val=""/>
      <w:numFmt w:val="bullet"/>
      <w:pPr>
        <w:pBdr/>
        <w:spacing/>
        <w:ind w:hanging="567" w:left="1560"/>
      </w:pPr>
      <w:rPr>
        <w:rFonts w:hint="default" w:ascii="Symbol" w:hAnsi="Symbol"/>
        <w:color w:val="auto"/>
      </w:rPr>
      <w:start w:val="1"/>
      <w:suff w:val="tab"/>
    </w:lvl>
    <w:lvl w:ilvl="3">
      <w:isLgl w:val="false"/>
      <w:lvlJc w:val="left"/>
      <w:lvlText w:val="○"/>
      <w:numFmt w:val="none"/>
      <w:pPr>
        <w:pBdr/>
        <w:spacing/>
        <w:ind w:hanging="567" w:left="2127"/>
      </w:pPr>
      <w:rPr>
        <w:rFonts w:hint="default"/>
      </w:rPr>
      <w:start w:val="1"/>
      <w:suff w:val="tab"/>
    </w:lvl>
    <w:lvl w:ilvl="4">
      <w:isLgl w:val="false"/>
      <w:lvlJc w:val="left"/>
      <w:lvlText w:val="%5."/>
      <w:numFmt w:val="decimal"/>
      <w:pPr>
        <w:pBdr/>
        <w:spacing/>
        <w:ind w:hanging="567" w:left="1560"/>
      </w:pPr>
      <w:rPr>
        <w:rFonts w:hint="default"/>
      </w:rPr>
      <w:start w:val="1"/>
      <w:suff w:val="tab"/>
    </w:lvl>
    <w:lvl w:ilvl="5">
      <w:isLgl w:val="false"/>
      <w:lvlJc w:val="left"/>
      <w:lvlText w:val="%6."/>
      <w:numFmt w:val="lowerLetter"/>
      <w:pPr>
        <w:pBdr/>
        <w:spacing/>
        <w:ind w:hanging="567" w:left="2127"/>
      </w:pPr>
      <w:rPr>
        <w:rFonts w:hint="default"/>
      </w:rPr>
      <w:start w:val="1"/>
      <w:suff w:val="tab"/>
    </w:lvl>
    <w:lvl w:ilvl="6">
      <w:isLgl w:val="false"/>
      <w:lvlJc w:val="left"/>
      <w:lvlText w:val="%7."/>
      <w:numFmt w:val="decimal"/>
      <w:pPr>
        <w:pBdr/>
        <w:spacing/>
        <w:ind w:hanging="567" w:left="1560"/>
      </w:pPr>
      <w:rPr>
        <w:rFonts w:hint="default"/>
      </w:rPr>
      <w:start w:val="1"/>
      <w:suff w:val="tab"/>
    </w:lvl>
    <w:lvl w:ilvl="7">
      <w:isLgl w:val="false"/>
      <w:lvlJc w:val="left"/>
      <w:lvlText w:val="%8."/>
      <w:numFmt w:val="lowerRoman"/>
      <w:pPr>
        <w:pBdr/>
        <w:spacing/>
        <w:ind w:hanging="623" w:left="2183"/>
      </w:pPr>
      <w:rPr>
        <w:rFonts w:hint="default"/>
      </w:rPr>
      <w:start w:val="1"/>
      <w:suff w:val="tab"/>
    </w:lvl>
    <w:lvl w:ilvl="8">
      <w:isLgl w:val="false"/>
      <w:lvlJc w:val="right"/>
      <w:lvlText w:val="%9."/>
      <w:numFmt w:val="none"/>
      <w:pPr>
        <w:pBdr/>
        <w:spacing/>
        <w:ind w:hanging="567" w:left="1560"/>
      </w:pPr>
      <w:rPr>
        <w:rFonts w:hint="default"/>
      </w:rPr>
      <w:start w:val="1"/>
      <w:suff w:val="tab"/>
    </w:lvl>
  </w:abstractNum>
  <w:abstractNum w:abstractNumId="2">
    <w:nsid w:val="0EA5028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4B51E27"/>
    <w:lvl w:ilvl="0">
      <w:isLgl w:val="false"/>
      <w:lvlJc w:val="left"/>
      <w:lvlText w:val=""/>
      <w:numFmt w:val="bullet"/>
      <w:pPr>
        <w:pBdr/>
        <w:spacing/>
        <w:ind w:hanging="360" w:left="1571"/>
      </w:pPr>
      <w:rPr>
        <w:rFonts w:hint="default" w:ascii="Symbol" w:hAnsi="Symbol"/>
      </w:rPr>
      <w:start w:val="1"/>
      <w:suff w:val="tab"/>
    </w:lvl>
    <w:lvl w:ilvl="1">
      <w:isLgl w:val="false"/>
      <w:lvlJc w:val="left"/>
      <w:lvlText w:val="o"/>
      <w:numFmt w:val="bullet"/>
      <w:pPr>
        <w:pBdr/>
        <w:spacing/>
        <w:ind w:hanging="360" w:left="2291"/>
      </w:pPr>
      <w:rPr>
        <w:rFonts w:hint="default" w:ascii="Courier New" w:hAnsi="Courier New" w:cs="Courier New"/>
      </w:rPr>
      <w:start w:val="1"/>
      <w:suff w:val="tab"/>
    </w:lvl>
    <w:lvl w:ilvl="2">
      <w:isLgl w:val="false"/>
      <w:lvlJc w:val="left"/>
      <w:lvlText w:val=""/>
      <w:numFmt w:val="bullet"/>
      <w:pPr>
        <w:pBdr/>
        <w:spacing/>
        <w:ind w:hanging="360" w:left="3011"/>
      </w:pPr>
      <w:rPr>
        <w:rFonts w:hint="default" w:ascii="Wingdings" w:hAnsi="Wingdings"/>
      </w:rPr>
      <w:start w:val="1"/>
      <w:suff w:val="tab"/>
    </w:lvl>
    <w:lvl w:ilvl="3">
      <w:isLgl w:val="false"/>
      <w:lvlJc w:val="left"/>
      <w:lvlText w:val=""/>
      <w:numFmt w:val="bullet"/>
      <w:pPr>
        <w:pBdr/>
        <w:spacing/>
        <w:ind w:hanging="360" w:left="3731"/>
      </w:pPr>
      <w:rPr>
        <w:rFonts w:hint="default" w:ascii="Symbol" w:hAnsi="Symbol"/>
      </w:rPr>
      <w:start w:val="1"/>
      <w:suff w:val="tab"/>
    </w:lvl>
    <w:lvl w:ilvl="4">
      <w:isLgl w:val="false"/>
      <w:lvlJc w:val="left"/>
      <w:lvlText w:val="o"/>
      <w:numFmt w:val="bullet"/>
      <w:pPr>
        <w:pBdr/>
        <w:spacing/>
        <w:ind w:hanging="360" w:left="4451"/>
      </w:pPr>
      <w:rPr>
        <w:rFonts w:hint="default" w:ascii="Courier New" w:hAnsi="Courier New" w:cs="Courier New"/>
      </w:rPr>
      <w:start w:val="1"/>
      <w:suff w:val="tab"/>
    </w:lvl>
    <w:lvl w:ilvl="5">
      <w:isLgl w:val="false"/>
      <w:lvlJc w:val="left"/>
      <w:lvlText w:val=""/>
      <w:numFmt w:val="bullet"/>
      <w:pPr>
        <w:pBdr/>
        <w:spacing/>
        <w:ind w:hanging="360" w:left="5171"/>
      </w:pPr>
      <w:rPr>
        <w:rFonts w:hint="default" w:ascii="Wingdings" w:hAnsi="Wingdings"/>
      </w:rPr>
      <w:start w:val="1"/>
      <w:suff w:val="tab"/>
    </w:lvl>
    <w:lvl w:ilvl="6">
      <w:isLgl w:val="false"/>
      <w:lvlJc w:val="left"/>
      <w:lvlText w:val=""/>
      <w:numFmt w:val="bullet"/>
      <w:pPr>
        <w:pBdr/>
        <w:spacing/>
        <w:ind w:hanging="360" w:left="5891"/>
      </w:pPr>
      <w:rPr>
        <w:rFonts w:hint="default" w:ascii="Symbol" w:hAnsi="Symbol"/>
      </w:rPr>
      <w:start w:val="1"/>
      <w:suff w:val="tab"/>
    </w:lvl>
    <w:lvl w:ilvl="7">
      <w:isLgl w:val="false"/>
      <w:lvlJc w:val="left"/>
      <w:lvlText w:val="o"/>
      <w:numFmt w:val="bullet"/>
      <w:pPr>
        <w:pBdr/>
        <w:spacing/>
        <w:ind w:hanging="360" w:left="6611"/>
      </w:pPr>
      <w:rPr>
        <w:rFonts w:hint="default" w:ascii="Courier New" w:hAnsi="Courier New" w:cs="Courier New"/>
      </w:rPr>
      <w:start w:val="1"/>
      <w:suff w:val="tab"/>
    </w:lvl>
    <w:lvl w:ilvl="8">
      <w:isLgl w:val="false"/>
      <w:lvlJc w:val="left"/>
      <w:lvlText w:val=""/>
      <w:numFmt w:val="bullet"/>
      <w:pPr>
        <w:pBdr/>
        <w:spacing/>
        <w:ind w:hanging="360" w:left="7331"/>
      </w:pPr>
      <w:rPr>
        <w:rFonts w:hint="default" w:ascii="Wingdings" w:hAnsi="Wingdings"/>
      </w:rPr>
      <w:start w:val="1"/>
      <w:suff w:val="tab"/>
    </w:lvl>
  </w:abstractNum>
  <w:abstractNum w:abstractNumId="4">
    <w:nsid w:val="18290312"/>
    <w:lvl w:ilvl="0">
      <w:isLgl w:val="false"/>
      <w:lvlJc w:val="left"/>
      <w:lvlText w:val="%1."/>
      <w:numFmt w:val="decimal"/>
      <w:pPr>
        <w:pBdr/>
        <w:spacing/>
        <w:ind w:hanging="357" w:left="783"/>
      </w:pPr>
      <w:rPr>
        <w:rFonts w:hint="default"/>
        <w:color w:val="404040"/>
      </w:rPr>
      <w:start w:val="3"/>
      <w:suff w:val="tab"/>
    </w:lvl>
    <w:lvl w:ilvl="1">
      <w:isLgl w:val="false"/>
      <w:lvlJc w:val="left"/>
      <w:lvlText w:val="%1.%2"/>
      <w:numFmt w:val="decimal"/>
      <w:pPr>
        <w:pBdr/>
        <w:spacing/>
        <w:ind w:hanging="851" w:left="851"/>
      </w:pPr>
      <w:rPr>
        <w:rFonts w:hint="default"/>
        <w:b w:val="0"/>
        <w:bCs w:val="0"/>
        <w:i w:val="0"/>
        <w:iCs/>
      </w:rPr>
      <w:start w:val="1"/>
      <w:suff w:val="tab"/>
    </w:lvl>
    <w:lvl w:ilvl="2">
      <w:isLgl w:val="false"/>
      <w:lvlJc w:val="left"/>
      <w:lvlText w:val=""/>
      <w:numFmt w:val="bullet"/>
      <w:pPr>
        <w:pBdr/>
        <w:spacing/>
        <w:ind w:hanging="425" w:left="1843"/>
      </w:pPr>
      <w:rPr>
        <w:rFonts w:hint="default" w:ascii="Symbol" w:hAnsi="Symbol"/>
      </w:rPr>
      <w:start w:val="1"/>
      <w:suff w:val="tab"/>
    </w:lvl>
    <w:lvl w:ilvl="3">
      <w:isLgl w:val="false"/>
      <w:lvlJc w:val="left"/>
      <w:lvlText w:val="○"/>
      <w:numFmt w:val="none"/>
      <w:pPr>
        <w:pBdr/>
        <w:spacing/>
        <w:ind w:hanging="425" w:left="1701"/>
      </w:pPr>
      <w:rPr>
        <w:rFonts w:hint="default"/>
      </w:rPr>
      <w:start w:val="1"/>
      <w:suff w:val="tab"/>
    </w:lvl>
    <w:lvl w:ilvl="4">
      <w:isLgl w:val="false"/>
      <w:lvlJc w:val="left"/>
      <w:lvlText w:val="(%5)"/>
      <w:numFmt w:val="lowerLetter"/>
      <w:pPr>
        <w:pBdr/>
        <w:spacing/>
        <w:ind w:hanging="425" w:left="1276"/>
      </w:pPr>
      <w:rPr>
        <w:rFonts w:hint="default"/>
      </w:rPr>
      <w:start w:val="1"/>
      <w:suff w:val="tab"/>
    </w:lvl>
    <w:lvl w:ilvl="5">
      <w:isLgl w:val="false"/>
      <w:lvlJc w:val="left"/>
      <w:lvlText w:val="(%6)"/>
      <w:numFmt w:val="lowerRoman"/>
      <w:pPr>
        <w:pBdr/>
        <w:spacing/>
        <w:ind w:hanging="425" w:left="1701"/>
      </w:pPr>
      <w:rPr>
        <w:rFonts w:hint="default"/>
      </w:rPr>
      <w:start w:val="1"/>
      <w:suff w:val="tab"/>
    </w:lvl>
    <w:lvl w:ilvl="6">
      <w:isLgl w:val="false"/>
      <w:lvlJc w:val="left"/>
      <w:lvlText w:val="%7."/>
      <w:numFmt w:val="decimal"/>
      <w:pPr>
        <w:pBdr/>
        <w:spacing/>
        <w:ind w:hanging="425" w:left="1276"/>
      </w:pPr>
      <w:rPr>
        <w:rFonts w:hint="default"/>
      </w:rPr>
      <w:start w:val="1"/>
      <w:suff w:val="tab"/>
    </w:lvl>
    <w:lvl w:ilvl="7">
      <w:isLgl w:val="false"/>
      <w:lvlJc w:val="left"/>
      <w:lvlText w:val="%8."/>
      <w:numFmt w:val="lowerLetter"/>
      <w:pPr>
        <w:pBdr/>
        <w:spacing/>
        <w:ind w:hanging="425" w:left="1701"/>
      </w:pPr>
      <w:rPr>
        <w:rFonts w:hint="default"/>
      </w:rPr>
      <w:start w:val="1"/>
      <w:suff w:val="tab"/>
    </w:lvl>
    <w:lvl w:ilvl="8">
      <w:isLgl w:val="false"/>
      <w:lvlJc w:val="left"/>
      <w:lvlText w:val="%9."/>
      <w:numFmt w:val="lowerRoman"/>
      <w:pPr>
        <w:pBdr/>
        <w:spacing/>
        <w:ind w:hanging="425" w:left="1701"/>
      </w:pPr>
      <w:rPr>
        <w:rFonts w:hint="default"/>
      </w:rPr>
      <w:start w:val="1"/>
      <w:suff w:val="tab"/>
    </w:lvl>
  </w:abstractNum>
  <w:abstractNum w:abstractNumId="5">
    <w:nsid w:val="27285A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
    <w:nsid w:val="272F77E4"/>
    <w:lvl w:ilvl="0">
      <w:isLgl w:val="false"/>
      <w:lvlJc w:val="left"/>
      <w:lvlText w:val=""/>
      <w:numFmt w:val="bullet"/>
      <w:pPr>
        <w:pBdr/>
        <w:spacing/>
        <w:ind w:hanging="360" w:left="1353"/>
      </w:pPr>
      <w:rPr>
        <w:rFonts w:hint="default" w:ascii="Symbol" w:hAnsi="Symbol"/>
      </w:rPr>
      <w:start w:val="1"/>
      <w:suff w:val="tab"/>
    </w:lvl>
    <w:lvl w:ilvl="1">
      <w:isLgl w:val="false"/>
      <w:lvlJc w:val="left"/>
      <w:lvlText w:val="o"/>
      <w:numFmt w:val="bullet"/>
      <w:pPr>
        <w:pBdr/>
        <w:spacing/>
        <w:ind w:hanging="360" w:left="2073"/>
      </w:pPr>
      <w:rPr>
        <w:rFonts w:hint="default" w:ascii="Courier New" w:hAnsi="Courier New" w:cs="Courier New"/>
      </w:rPr>
      <w:start w:val="1"/>
      <w:suff w:val="tab"/>
    </w:lvl>
    <w:lvl w:ilvl="2">
      <w:isLgl w:val="false"/>
      <w:lvlJc w:val="left"/>
      <w:lvlText w:val=""/>
      <w:numFmt w:val="bullet"/>
      <w:pPr>
        <w:pBdr/>
        <w:spacing/>
        <w:ind w:hanging="360" w:left="2793"/>
      </w:pPr>
      <w:rPr>
        <w:rFonts w:hint="default" w:ascii="Wingdings" w:hAnsi="Wingdings"/>
      </w:rPr>
      <w:start w:val="1"/>
      <w:suff w:val="tab"/>
    </w:lvl>
    <w:lvl w:ilvl="3">
      <w:isLgl w:val="false"/>
      <w:lvlJc w:val="left"/>
      <w:lvlText w:val=""/>
      <w:numFmt w:val="bullet"/>
      <w:pPr>
        <w:pBdr/>
        <w:spacing/>
        <w:ind w:hanging="360" w:left="3513"/>
      </w:pPr>
      <w:rPr>
        <w:rFonts w:hint="default" w:ascii="Symbol" w:hAnsi="Symbol"/>
      </w:rPr>
      <w:start w:val="1"/>
      <w:suff w:val="tab"/>
    </w:lvl>
    <w:lvl w:ilvl="4">
      <w:isLgl w:val="false"/>
      <w:lvlJc w:val="left"/>
      <w:lvlText w:val="o"/>
      <w:numFmt w:val="bullet"/>
      <w:pPr>
        <w:pBdr/>
        <w:spacing/>
        <w:ind w:hanging="360" w:left="4233"/>
      </w:pPr>
      <w:rPr>
        <w:rFonts w:hint="default" w:ascii="Courier New" w:hAnsi="Courier New" w:cs="Courier New"/>
      </w:rPr>
      <w:start w:val="1"/>
      <w:suff w:val="tab"/>
    </w:lvl>
    <w:lvl w:ilvl="5">
      <w:isLgl w:val="false"/>
      <w:lvlJc w:val="left"/>
      <w:lvlText w:val=""/>
      <w:numFmt w:val="bullet"/>
      <w:pPr>
        <w:pBdr/>
        <w:spacing/>
        <w:ind w:hanging="360" w:left="4953"/>
      </w:pPr>
      <w:rPr>
        <w:rFonts w:hint="default" w:ascii="Wingdings" w:hAnsi="Wingdings"/>
      </w:rPr>
      <w:start w:val="1"/>
      <w:suff w:val="tab"/>
    </w:lvl>
    <w:lvl w:ilvl="6">
      <w:isLgl w:val="false"/>
      <w:lvlJc w:val="left"/>
      <w:lvlText w:val=""/>
      <w:numFmt w:val="bullet"/>
      <w:pPr>
        <w:pBdr/>
        <w:spacing/>
        <w:ind w:hanging="360" w:left="5673"/>
      </w:pPr>
      <w:rPr>
        <w:rFonts w:hint="default" w:ascii="Symbol" w:hAnsi="Symbol"/>
      </w:rPr>
      <w:start w:val="1"/>
      <w:suff w:val="tab"/>
    </w:lvl>
    <w:lvl w:ilvl="7">
      <w:isLgl w:val="false"/>
      <w:lvlJc w:val="left"/>
      <w:lvlText w:val="o"/>
      <w:numFmt w:val="bullet"/>
      <w:pPr>
        <w:pBdr/>
        <w:spacing/>
        <w:ind w:hanging="360" w:left="6393"/>
      </w:pPr>
      <w:rPr>
        <w:rFonts w:hint="default" w:ascii="Courier New" w:hAnsi="Courier New" w:cs="Courier New"/>
      </w:rPr>
      <w:start w:val="1"/>
      <w:suff w:val="tab"/>
    </w:lvl>
    <w:lvl w:ilvl="8">
      <w:isLgl w:val="false"/>
      <w:lvlJc w:val="left"/>
      <w:lvlText w:val=""/>
      <w:numFmt w:val="bullet"/>
      <w:pPr>
        <w:pBdr/>
        <w:spacing/>
        <w:ind w:hanging="360" w:left="7113"/>
      </w:pPr>
      <w:rPr>
        <w:rFonts w:hint="default" w:ascii="Wingdings" w:hAnsi="Wingdings"/>
      </w:rPr>
      <w:start w:val="1"/>
      <w:suff w:val="tab"/>
    </w:lvl>
  </w:abstractNum>
  <w:abstractNum w:abstractNumId="7">
    <w:nsid w:val="2C3A6B62"/>
    <w:lvl w:ilvl="0">
      <w:isLgl w:val="false"/>
      <w:lvlJc w:val="left"/>
      <w:lvlText w:val="%1."/>
      <w:numFmt w:val="decimal"/>
      <w:pPr>
        <w:pBdr/>
        <w:spacing/>
        <w:ind w:hanging="360" w:left="360"/>
      </w:pPr>
      <w:pStyle w:val="1086"/>
      <w:rPr>
        <w:rFonts w:hint="default"/>
      </w:rPr>
      <w:start w:val="1"/>
      <w:suff w:val="space"/>
    </w:lvl>
    <w:lvl w:ilvl="1">
      <w:isLgl w:val="false"/>
      <w:lvlJc w:val="left"/>
      <w:lvlText w:val="%1.%2."/>
      <w:numFmt w:val="decimal"/>
      <w:pPr>
        <w:pBdr/>
        <w:tabs>
          <w:tab w:val="num" w:leader="none" w:pos="680"/>
        </w:tabs>
        <w:spacing/>
        <w:ind w:firstLine="0" w:left="0"/>
      </w:pPr>
      <w:rPr>
        <w:rFonts w:hint="default"/>
      </w:rPr>
      <w:start w:val="1"/>
      <w:suff w:val="tab"/>
    </w:lvl>
    <w:lvl w:ilvl="2">
      <w:isLgl w:val="false"/>
      <w:lvlJc w:val="left"/>
      <w:lvlText w:val="%1.%2.%3."/>
      <w:numFmt w:val="decimal"/>
      <w:pPr>
        <w:pBdr/>
        <w:tabs>
          <w:tab w:val="num" w:leader="none" w:pos="1440"/>
        </w:tabs>
        <w:spacing/>
        <w:ind w:hanging="504" w:left="1224"/>
      </w:pPr>
      <w:rPr>
        <w:rFonts w:hint="default"/>
      </w:rPr>
      <w:start w:val="1"/>
      <w:suff w:val="tab"/>
    </w:lvl>
    <w:lvl w:ilvl="3">
      <w:isLgl w:val="false"/>
      <w:lvlJc w:val="left"/>
      <w:lvlText w:val="%1.%2.%3.%4."/>
      <w:numFmt w:val="decimal"/>
      <w:pPr>
        <w:pBdr/>
        <w:tabs>
          <w:tab w:val="num" w:leader="none" w:pos="1800"/>
        </w:tabs>
        <w:spacing/>
        <w:ind w:hanging="648" w:left="1728"/>
      </w:pPr>
      <w:rPr>
        <w:rFonts w:hint="default"/>
      </w:rPr>
      <w:start w:val="1"/>
      <w:suff w:val="tab"/>
    </w:lvl>
    <w:lvl w:ilvl="4">
      <w:isLgl w:val="false"/>
      <w:lvlJc w:val="left"/>
      <w:lvlText w:val="%1.%2.%3.%4.%5."/>
      <w:numFmt w:val="decimal"/>
      <w:pPr>
        <w:pBdr/>
        <w:tabs>
          <w:tab w:val="num" w:leader="none" w:pos="2520"/>
        </w:tabs>
        <w:spacing/>
        <w:ind w:hanging="792" w:left="2232"/>
      </w:pPr>
      <w:rPr>
        <w:rFonts w:hint="default"/>
      </w:rPr>
      <w:start w:val="1"/>
      <w:suff w:val="tab"/>
    </w:lvl>
    <w:lvl w:ilvl="5">
      <w:isLgl w:val="false"/>
      <w:lvlJc w:val="left"/>
      <w:lvlText w:val="%1.%2.%3.%4.%5.%6."/>
      <w:numFmt w:val="decimal"/>
      <w:pPr>
        <w:pBdr/>
        <w:tabs>
          <w:tab w:val="num" w:leader="none" w:pos="2880"/>
        </w:tabs>
        <w:spacing/>
        <w:ind w:hanging="936" w:left="2736"/>
      </w:pPr>
      <w:rPr>
        <w:rFonts w:hint="default"/>
      </w:rPr>
      <w:start w:val="1"/>
      <w:suff w:val="tab"/>
    </w:lvl>
    <w:lvl w:ilvl="6">
      <w:isLgl w:val="false"/>
      <w:lvlJc w:val="left"/>
      <w:lvlText w:val="%1.%2.%3.%4.%5.%6.%7."/>
      <w:numFmt w:val="decimal"/>
      <w:pPr>
        <w:pBdr/>
        <w:tabs>
          <w:tab w:val="num" w:leader="none" w:pos="3600"/>
        </w:tabs>
        <w:spacing/>
        <w:ind w:hanging="1080" w:left="3240"/>
      </w:pPr>
      <w:rPr>
        <w:rFonts w:hint="default"/>
      </w:rPr>
      <w:start w:val="1"/>
      <w:suff w:val="tab"/>
    </w:lvl>
    <w:lvl w:ilvl="7">
      <w:isLgl w:val="false"/>
      <w:lvlJc w:val="left"/>
      <w:lvlText w:val="%1.%2.%3.%4.%5.%6.%7.%8."/>
      <w:numFmt w:val="decimal"/>
      <w:pPr>
        <w:pBdr/>
        <w:tabs>
          <w:tab w:val="num" w:leader="none" w:pos="3960"/>
        </w:tabs>
        <w:spacing/>
        <w:ind w:hanging="1224" w:left="3744"/>
      </w:pPr>
      <w:rPr>
        <w:rFonts w:hint="default"/>
      </w:rPr>
      <w:start w:val="1"/>
      <w:suff w:val="tab"/>
    </w:lvl>
    <w:lvl w:ilvl="8">
      <w:isLgl w:val="false"/>
      <w:lvlJc w:val="left"/>
      <w:lvlText w:val="%1.%2.%3.%4.%5.%6.%7.%8.%9."/>
      <w:numFmt w:val="decimal"/>
      <w:pPr>
        <w:pBdr/>
        <w:tabs>
          <w:tab w:val="num" w:leader="none" w:pos="4680"/>
        </w:tabs>
        <w:spacing/>
        <w:ind w:hanging="1440" w:left="4320"/>
      </w:pPr>
      <w:rPr>
        <w:rFonts w:hint="default"/>
      </w:rPr>
      <w:start w:val="1"/>
      <w:suff w:val="tab"/>
    </w:lvl>
  </w:abstractNum>
  <w:abstractNum w:abstractNumId="8">
    <w:nsid w:val="32483F4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472C2D22"/>
    <w:lvl w:ilvl="0">
      <w:isLgl w:val="false"/>
      <w:lvlJc w:val="left"/>
      <w:lvlText w:val="%1"/>
      <w:numFmt w:val="decimal"/>
      <w:pPr>
        <w:pBdr/>
        <w:spacing/>
        <w:ind w:hanging="360" w:left="1080"/>
      </w:pPr>
      <w:rPr>
        <w:rFonts w:hint="default"/>
      </w:rPr>
      <w:start w:val="3"/>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0">
    <w:nsid w:val="47EA227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486F7CC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54324132"/>
    <w:lvl w:ilvl="0">
      <w:isLgl w:val="false"/>
      <w:lvlJc w:val="left"/>
      <w:lvlText w:val=""/>
      <w:numFmt w:val="bullet"/>
      <w:pPr>
        <w:pBdr/>
        <w:spacing/>
        <w:ind w:hanging="360" w:left="720"/>
      </w:pPr>
      <w:pStyle w:val="1029"/>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62563691"/>
    <w:lvl w:ilvl="0">
      <w:isLgl w:val="false"/>
      <w:lvlJc w:val="left"/>
      <w:lvlText w:val="%1."/>
      <w:numFmt w:val="decimal"/>
      <w:pPr>
        <w:pBdr/>
        <w:spacing/>
        <w:ind w:hanging="357" w:left="357"/>
      </w:pPr>
      <w:rPr>
        <w:color w:val="404040"/>
      </w:rPr>
      <w:start w:val="1"/>
      <w:suff w:val="tab"/>
    </w:lvl>
    <w:lvl w:ilvl="1">
      <w:isLgl w:val="false"/>
      <w:lvlJc w:val="left"/>
      <w:lvlText w:val="%1.%2"/>
      <w:numFmt w:val="decimal"/>
      <w:pPr>
        <w:pBdr/>
        <w:spacing/>
        <w:ind w:hanging="851" w:left="851"/>
      </w:pPr>
      <w:rPr>
        <w:rFonts w:hint="default"/>
        <w:i w:val="0"/>
        <w:iCs/>
        <w:color w:val="000000" w:themeColor="text1"/>
      </w:rPr>
      <w:start w:val="1"/>
      <w:suff w:val="tab"/>
    </w:lvl>
    <w:lvl w:ilvl="2">
      <w:isLgl w:val="false"/>
      <w:lvlJc w:val="left"/>
      <w:lvlText w:val=""/>
      <w:numFmt w:val="bullet"/>
      <w:pPr>
        <w:pBdr/>
        <w:spacing/>
        <w:ind w:hanging="425" w:left="1276"/>
      </w:pPr>
      <w:rPr>
        <w:rFonts w:hint="default" w:ascii="Symbol" w:hAnsi="Symbol"/>
      </w:rPr>
      <w:start w:val="1"/>
      <w:suff w:val="tab"/>
    </w:lvl>
    <w:lvl w:ilvl="3">
      <w:isLgl w:val="false"/>
      <w:lvlJc w:val="left"/>
      <w:lvlText w:val="○"/>
      <w:numFmt w:val="none"/>
      <w:pPr>
        <w:pBdr/>
        <w:spacing/>
        <w:ind w:hanging="425" w:left="1701"/>
      </w:pPr>
      <w:rPr>
        <w:rFonts w:hint="default"/>
      </w:rPr>
      <w:start w:val="1"/>
      <w:suff w:val="tab"/>
    </w:lvl>
    <w:lvl w:ilvl="4">
      <w:isLgl w:val="false"/>
      <w:lvlJc w:val="left"/>
      <w:lvlText w:val="(%5)"/>
      <w:numFmt w:val="lowerLetter"/>
      <w:pPr>
        <w:pBdr/>
        <w:spacing/>
        <w:ind w:hanging="425" w:left="1276"/>
      </w:pPr>
      <w:rPr>
        <w:rFonts w:hint="default"/>
      </w:rPr>
      <w:start w:val="1"/>
      <w:suff w:val="tab"/>
    </w:lvl>
    <w:lvl w:ilvl="5">
      <w:isLgl w:val="false"/>
      <w:lvlJc w:val="left"/>
      <w:lvlText w:val="(%6)"/>
      <w:numFmt w:val="lowerRoman"/>
      <w:pPr>
        <w:pBdr/>
        <w:spacing/>
        <w:ind w:hanging="425" w:left="1701"/>
      </w:pPr>
      <w:rPr>
        <w:rFonts w:hint="default"/>
      </w:rPr>
      <w:start w:val="1"/>
      <w:suff w:val="tab"/>
    </w:lvl>
    <w:lvl w:ilvl="6">
      <w:isLgl w:val="false"/>
      <w:lvlJc w:val="left"/>
      <w:lvlText w:val="%7."/>
      <w:numFmt w:val="decimal"/>
      <w:pPr>
        <w:pBdr/>
        <w:spacing/>
        <w:ind w:hanging="425" w:left="1276"/>
      </w:pPr>
      <w:rPr>
        <w:rFonts w:hint="default"/>
      </w:rPr>
      <w:start w:val="1"/>
      <w:suff w:val="tab"/>
    </w:lvl>
    <w:lvl w:ilvl="7">
      <w:isLgl w:val="false"/>
      <w:lvlJc w:val="left"/>
      <w:lvlText w:val="%8."/>
      <w:numFmt w:val="lowerLetter"/>
      <w:pPr>
        <w:pBdr/>
        <w:spacing/>
        <w:ind w:hanging="425" w:left="1701"/>
      </w:pPr>
      <w:rPr>
        <w:rFonts w:hint="default"/>
      </w:rPr>
      <w:start w:val="1"/>
      <w:suff w:val="tab"/>
    </w:lvl>
    <w:lvl w:ilvl="8">
      <w:isLgl w:val="false"/>
      <w:lvlJc w:val="left"/>
      <w:lvlText w:val="%9."/>
      <w:numFmt w:val="lowerRoman"/>
      <w:pPr>
        <w:pBdr/>
        <w:spacing/>
        <w:ind w:hanging="425" w:left="1701"/>
      </w:pPr>
      <w:rPr>
        <w:rFonts w:hint="default"/>
      </w:rPr>
      <w:start w:val="1"/>
      <w:suff w:val="tab"/>
    </w:lvl>
  </w:abstractNum>
  <w:abstractNum w:abstractNumId="14">
    <w:nsid w:val="635330A4"/>
    <w:lvl w:ilvl="0">
      <w:isLgl w:val="false"/>
      <w:lvlJc w:val="left"/>
      <w:lvlText w:val="%1."/>
      <w:numFmt w:val="decimal"/>
      <w:pPr>
        <w:pBdr/>
        <w:spacing/>
        <w:ind w:hanging="360" w:left="785"/>
      </w:pPr>
      <w:rPr/>
      <w:start w:val="1"/>
      <w:suff w:val="tab"/>
    </w:lvl>
    <w:lvl w:ilvl="1">
      <w:isLgl w:val="false"/>
      <w:lvlJc w:val="left"/>
      <w:lvlText w:val="%2."/>
      <w:numFmt w:val="lowerLetter"/>
      <w:pPr>
        <w:pBdr/>
        <w:spacing/>
        <w:ind w:hanging="360" w:left="1508"/>
      </w:pPr>
      <w:rPr/>
      <w:start w:val="1"/>
      <w:suff w:val="tab"/>
    </w:lvl>
    <w:lvl w:ilvl="2">
      <w:isLgl w:val="false"/>
      <w:lvlJc w:val="right"/>
      <w:lvlText w:val="%3."/>
      <w:numFmt w:val="lowerRoman"/>
      <w:pPr>
        <w:pBdr/>
        <w:spacing/>
        <w:ind w:hanging="180" w:left="2228"/>
      </w:pPr>
      <w:rPr/>
      <w:start w:val="1"/>
      <w:suff w:val="tab"/>
    </w:lvl>
    <w:lvl w:ilvl="3">
      <w:isLgl w:val="false"/>
      <w:lvlJc w:val="left"/>
      <w:lvlText w:val="%4."/>
      <w:numFmt w:val="decimal"/>
      <w:pPr>
        <w:pBdr/>
        <w:spacing/>
        <w:ind w:hanging="360" w:left="2948"/>
      </w:pPr>
      <w:rPr/>
      <w:start w:val="1"/>
      <w:suff w:val="tab"/>
    </w:lvl>
    <w:lvl w:ilvl="4">
      <w:isLgl w:val="false"/>
      <w:lvlJc w:val="left"/>
      <w:lvlText w:val="%5."/>
      <w:numFmt w:val="lowerLetter"/>
      <w:pPr>
        <w:pBdr/>
        <w:spacing/>
        <w:ind w:hanging="360" w:left="3668"/>
      </w:pPr>
      <w:rPr/>
      <w:start w:val="1"/>
      <w:suff w:val="tab"/>
    </w:lvl>
    <w:lvl w:ilvl="5">
      <w:isLgl w:val="false"/>
      <w:lvlJc w:val="right"/>
      <w:lvlText w:val="%6."/>
      <w:numFmt w:val="lowerRoman"/>
      <w:pPr>
        <w:pBdr/>
        <w:spacing/>
        <w:ind w:hanging="180" w:left="4388"/>
      </w:pPr>
      <w:rPr/>
      <w:start w:val="1"/>
      <w:suff w:val="tab"/>
    </w:lvl>
    <w:lvl w:ilvl="6">
      <w:isLgl w:val="false"/>
      <w:lvlJc w:val="left"/>
      <w:lvlText w:val="%7."/>
      <w:numFmt w:val="decimal"/>
      <w:pPr>
        <w:pBdr/>
        <w:spacing/>
        <w:ind w:hanging="360" w:left="5108"/>
      </w:pPr>
      <w:rPr/>
      <w:start w:val="1"/>
      <w:suff w:val="tab"/>
    </w:lvl>
    <w:lvl w:ilvl="7">
      <w:isLgl w:val="false"/>
      <w:lvlJc w:val="left"/>
      <w:lvlText w:val="%8."/>
      <w:numFmt w:val="lowerLetter"/>
      <w:pPr>
        <w:pBdr/>
        <w:spacing/>
        <w:ind w:hanging="360" w:left="5828"/>
      </w:pPr>
      <w:rPr/>
      <w:start w:val="1"/>
      <w:suff w:val="tab"/>
    </w:lvl>
    <w:lvl w:ilvl="8">
      <w:isLgl w:val="false"/>
      <w:lvlJc w:val="right"/>
      <w:lvlText w:val="%9."/>
      <w:numFmt w:val="lowerRoman"/>
      <w:pPr>
        <w:pBdr/>
        <w:spacing/>
        <w:ind w:hanging="180" w:left="6548"/>
      </w:pPr>
      <w:rPr/>
      <w:start w:val="1"/>
      <w:suff w:val="tab"/>
    </w:lvl>
  </w:abstractNum>
  <w:abstractNum w:abstractNumId="15">
    <w:nsid w:val="637433E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6">
    <w:nsid w:val="65966E73"/>
    <w:styleLink w:val="1083"/>
    <w:lvl w:ilvl="0">
      <w:isLgl w:val="false"/>
      <w:lvlJc w:val="left"/>
      <w:lvlText w:val="%1."/>
      <w:numFmt w:val="decimal"/>
      <w:pPr>
        <w:pBdr/>
        <w:spacing/>
        <w:ind w:hanging="357" w:left="357"/>
      </w:pPr>
      <w:pStyle w:val="1083"/>
      <w:rPr>
        <w:rFonts w:hint="default" w:asciiTheme="majorHAnsi" w:hAnsiTheme="majorHAnsi"/>
        <w:color w:val="404040"/>
      </w:rPr>
      <w:start w:val="1"/>
      <w:suff w:val="tab"/>
    </w:lvl>
    <w:lvl w:ilvl="1">
      <w:isLgl w:val="false"/>
      <w:lvlJc w:val="left"/>
      <w:lvlText w:val="%1.%2"/>
      <w:numFmt w:val="decimal"/>
      <w:pPr>
        <w:pBdr/>
        <w:spacing/>
        <w:ind w:hanging="720" w:left="720"/>
      </w:pPr>
      <w:rPr>
        <w:rFonts w:hint="default"/>
        <w:color w:val="000000" w:themeColor="text1"/>
      </w:rPr>
      <w:start w:val="1"/>
      <w:suff w:val="tab"/>
    </w:lvl>
    <w:lvl w:ilvl="2">
      <w:isLgl w:val="false"/>
      <w:lvlJc w:val="left"/>
      <w:lvlText w:val=""/>
      <w:numFmt w:val="bullet"/>
      <w:pPr>
        <w:pBdr/>
        <w:spacing/>
        <w:ind w:hanging="360" w:left="1080"/>
      </w:pPr>
      <w:pStyle w:val="1048"/>
      <w:rPr>
        <w:rFonts w:hint="default" w:ascii="Symbol" w:hAnsi="Symbol"/>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7">
    <w:nsid w:val="6D6D35DA"/>
    <w:lvl w:ilvl="0">
      <w:isLgl w:val="false"/>
      <w:lvlJc w:val="left"/>
      <w:lvlText w:val="%1."/>
      <w:numFmt w:val="decimal"/>
      <w:pPr>
        <w:pBdr/>
        <w:spacing/>
        <w:ind w:hanging="360" w:left="1080"/>
      </w:pPr>
      <w:rPr>
        <w:rFonts w:hint="default"/>
        <w:i w:val="0"/>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8">
    <w:nsid w:val="6DC14D1D"/>
    <w:lvl w:ilvl="0">
      <w:isLgl w:val="false"/>
      <w:lvlJc w:val="left"/>
      <w:lvlText w:val=""/>
      <w:numFmt w:val="none"/>
      <w:pPr>
        <w:pBdr/>
        <w:spacing/>
        <w:ind w:hanging="360" w:left="360"/>
      </w:pPr>
      <w:rPr>
        <w:rFonts w:hint="default"/>
      </w:rPr>
      <w:start w:val="1"/>
      <w:suff w:val="space"/>
    </w:lvl>
    <w:lvl w:ilvl="1">
      <w:isLgl w:val="false"/>
      <w:lvlJc w:val="left"/>
      <w:lvlText w:val="%11.%2."/>
      <w:numFmt w:val="decimal"/>
      <w:pPr>
        <w:pBdr/>
        <w:spacing/>
        <w:ind w:firstLine="0" w:left="0"/>
      </w:pPr>
      <w:pStyle w:val="1054"/>
      <w:rPr>
        <w:rFonts w:hint="default"/>
      </w:rPr>
      <w:start w:val="1"/>
      <w:suff w:val="space"/>
    </w:lvl>
    <w:lvl w:ilvl="2">
      <w:isLgl w:val="false"/>
      <w:lvlJc w:val="left"/>
      <w:lvlText w:val="%1.%2.%3."/>
      <w:numFmt w:val="decimal"/>
      <w:pPr>
        <w:pBdr/>
        <w:tabs>
          <w:tab w:val="num" w:leader="none" w:pos="1440"/>
        </w:tabs>
        <w:spacing/>
        <w:ind w:hanging="504" w:left="1224"/>
      </w:pPr>
      <w:rPr>
        <w:rFonts w:hint="default"/>
      </w:rPr>
      <w:start w:val="1"/>
      <w:suff w:val="tab"/>
    </w:lvl>
    <w:lvl w:ilvl="3">
      <w:isLgl w:val="false"/>
      <w:lvlJc w:val="left"/>
      <w:lvlText w:val="%1.%2.%3.%4."/>
      <w:numFmt w:val="decimal"/>
      <w:pPr>
        <w:pBdr/>
        <w:tabs>
          <w:tab w:val="num" w:leader="none" w:pos="1800"/>
        </w:tabs>
        <w:spacing/>
        <w:ind w:hanging="648" w:left="1728"/>
      </w:pPr>
      <w:rPr>
        <w:rFonts w:hint="default"/>
      </w:rPr>
      <w:start w:val="1"/>
      <w:suff w:val="tab"/>
    </w:lvl>
    <w:lvl w:ilvl="4">
      <w:isLgl w:val="false"/>
      <w:lvlJc w:val="left"/>
      <w:lvlText w:val="%1.%2.%3.%4.%5."/>
      <w:numFmt w:val="decimal"/>
      <w:pPr>
        <w:pBdr/>
        <w:tabs>
          <w:tab w:val="num" w:leader="none" w:pos="2520"/>
        </w:tabs>
        <w:spacing/>
        <w:ind w:hanging="792" w:left="2232"/>
      </w:pPr>
      <w:rPr>
        <w:rFonts w:hint="default"/>
      </w:rPr>
      <w:start w:val="1"/>
      <w:suff w:val="tab"/>
    </w:lvl>
    <w:lvl w:ilvl="5">
      <w:isLgl w:val="false"/>
      <w:lvlJc w:val="left"/>
      <w:lvlText w:val="%1.%2.%3.%4.%5.%6."/>
      <w:numFmt w:val="decimal"/>
      <w:pPr>
        <w:pBdr/>
        <w:tabs>
          <w:tab w:val="num" w:leader="none" w:pos="2880"/>
        </w:tabs>
        <w:spacing/>
        <w:ind w:hanging="936" w:left="2736"/>
      </w:pPr>
      <w:rPr>
        <w:rFonts w:hint="default"/>
      </w:rPr>
      <w:start w:val="1"/>
      <w:suff w:val="tab"/>
    </w:lvl>
    <w:lvl w:ilvl="6">
      <w:isLgl w:val="false"/>
      <w:lvlJc w:val="left"/>
      <w:lvlText w:val="%1.%2.%3.%4.%5.%6.%7."/>
      <w:numFmt w:val="decimal"/>
      <w:pPr>
        <w:pBdr/>
        <w:tabs>
          <w:tab w:val="num" w:leader="none" w:pos="3600"/>
        </w:tabs>
        <w:spacing/>
        <w:ind w:hanging="1080" w:left="3240"/>
      </w:pPr>
      <w:rPr>
        <w:rFonts w:hint="default"/>
      </w:rPr>
      <w:start w:val="1"/>
      <w:suff w:val="tab"/>
    </w:lvl>
    <w:lvl w:ilvl="7">
      <w:isLgl w:val="false"/>
      <w:lvlJc w:val="left"/>
      <w:lvlText w:val="%1.%2.%3.%4.%5.%6.%7.%8."/>
      <w:numFmt w:val="decimal"/>
      <w:pPr>
        <w:pBdr/>
        <w:tabs>
          <w:tab w:val="num" w:leader="none" w:pos="3960"/>
        </w:tabs>
        <w:spacing/>
        <w:ind w:hanging="1224" w:left="3744"/>
      </w:pPr>
      <w:rPr>
        <w:rFonts w:hint="default"/>
      </w:rPr>
      <w:start w:val="1"/>
      <w:suff w:val="tab"/>
    </w:lvl>
    <w:lvl w:ilvl="8">
      <w:isLgl w:val="false"/>
      <w:lvlJc w:val="left"/>
      <w:lvlText w:val="%1.%2.%3.%4.%5.%6.%7.%8.%9."/>
      <w:numFmt w:val="decimal"/>
      <w:pPr>
        <w:pBdr/>
        <w:tabs>
          <w:tab w:val="num" w:leader="none" w:pos="4680"/>
        </w:tabs>
        <w:spacing/>
        <w:ind w:hanging="1440" w:left="4320"/>
      </w:pPr>
      <w:rPr>
        <w:rFonts w:hint="default"/>
      </w:rPr>
      <w:start w:val="1"/>
      <w:suff w:val="tab"/>
    </w:lvl>
  </w:abstractNum>
  <w:abstractNum w:abstractNumId="19">
    <w:nsid w:val="7195227C"/>
    <w:lvl w:ilvl="0">
      <w:isLgl w:val="false"/>
      <w:lvlJc w:val="left"/>
      <w:lvlText w:val="%1."/>
      <w:numFmt w:val="decimal"/>
      <w:pPr>
        <w:pBdr/>
        <w:spacing/>
        <w:ind w:hanging="360" w:left="785"/>
      </w:pPr>
      <w:rPr/>
      <w:start w:val="1"/>
      <w:suff w:val="tab"/>
    </w:lvl>
    <w:lvl w:ilvl="1">
      <w:isLgl w:val="false"/>
      <w:lvlJc w:val="left"/>
      <w:lvlText w:val="%2."/>
      <w:numFmt w:val="lowerLetter"/>
      <w:pPr>
        <w:pBdr/>
        <w:spacing/>
        <w:ind w:hanging="360" w:left="1508"/>
      </w:pPr>
      <w:rPr/>
      <w:start w:val="1"/>
      <w:suff w:val="tab"/>
    </w:lvl>
    <w:lvl w:ilvl="2">
      <w:isLgl w:val="false"/>
      <w:lvlJc w:val="right"/>
      <w:lvlText w:val="%3."/>
      <w:numFmt w:val="lowerRoman"/>
      <w:pPr>
        <w:pBdr/>
        <w:spacing/>
        <w:ind w:hanging="180" w:left="2228"/>
      </w:pPr>
      <w:rPr/>
      <w:start w:val="1"/>
      <w:suff w:val="tab"/>
    </w:lvl>
    <w:lvl w:ilvl="3">
      <w:isLgl w:val="false"/>
      <w:lvlJc w:val="left"/>
      <w:lvlText w:val="%4."/>
      <w:numFmt w:val="decimal"/>
      <w:pPr>
        <w:pBdr/>
        <w:spacing/>
        <w:ind w:hanging="360" w:left="2948"/>
      </w:pPr>
      <w:rPr/>
      <w:start w:val="1"/>
      <w:suff w:val="tab"/>
    </w:lvl>
    <w:lvl w:ilvl="4">
      <w:isLgl w:val="false"/>
      <w:lvlJc w:val="left"/>
      <w:lvlText w:val="%5."/>
      <w:numFmt w:val="lowerLetter"/>
      <w:pPr>
        <w:pBdr/>
        <w:spacing/>
        <w:ind w:hanging="360" w:left="3668"/>
      </w:pPr>
      <w:rPr/>
      <w:start w:val="1"/>
      <w:suff w:val="tab"/>
    </w:lvl>
    <w:lvl w:ilvl="5">
      <w:isLgl w:val="false"/>
      <w:lvlJc w:val="right"/>
      <w:lvlText w:val="%6."/>
      <w:numFmt w:val="lowerRoman"/>
      <w:pPr>
        <w:pBdr/>
        <w:spacing/>
        <w:ind w:hanging="180" w:left="4388"/>
      </w:pPr>
      <w:rPr/>
      <w:start w:val="1"/>
      <w:suff w:val="tab"/>
    </w:lvl>
    <w:lvl w:ilvl="6">
      <w:isLgl w:val="false"/>
      <w:lvlJc w:val="left"/>
      <w:lvlText w:val="%7."/>
      <w:numFmt w:val="decimal"/>
      <w:pPr>
        <w:pBdr/>
        <w:spacing/>
        <w:ind w:hanging="360" w:left="5108"/>
      </w:pPr>
      <w:rPr/>
      <w:start w:val="1"/>
      <w:suff w:val="tab"/>
    </w:lvl>
    <w:lvl w:ilvl="7">
      <w:isLgl w:val="false"/>
      <w:lvlJc w:val="left"/>
      <w:lvlText w:val="%8."/>
      <w:numFmt w:val="lowerLetter"/>
      <w:pPr>
        <w:pBdr/>
        <w:spacing/>
        <w:ind w:hanging="360" w:left="5828"/>
      </w:pPr>
      <w:rPr/>
      <w:start w:val="1"/>
      <w:suff w:val="tab"/>
    </w:lvl>
    <w:lvl w:ilvl="8">
      <w:isLgl w:val="false"/>
      <w:lvlJc w:val="right"/>
      <w:lvlText w:val="%9."/>
      <w:numFmt w:val="lowerRoman"/>
      <w:pPr>
        <w:pBdr/>
        <w:spacing/>
        <w:ind w:hanging="180" w:left="6548"/>
      </w:pPr>
      <w:rPr/>
      <w:start w:val="1"/>
      <w:suff w:val="tab"/>
    </w:lvl>
  </w:abstractNum>
  <w:abstractNum w:abstractNumId="20">
    <w:nsid w:val="7B802B96"/>
    <w:lvl w:ilvl="0">
      <w:isLgl w:val="false"/>
      <w:lvlJc w:val="left"/>
      <w:lvlText w:val="%1."/>
      <w:numFmt w:val="decimal"/>
      <w:pPr>
        <w:pBdr/>
        <w:spacing/>
        <w:ind w:hanging="357" w:left="357"/>
      </w:pPr>
      <w:pStyle w:val="1063"/>
      <w:rPr/>
      <w:start w:val="1"/>
      <w:suff w:val="tab"/>
    </w:lvl>
    <w:lvl w:ilvl="1">
      <w:isLgl w:val="false"/>
      <w:lvlJc w:val="left"/>
      <w:lvlText w:val="%1.%2"/>
      <w:numFmt w:val="decimal"/>
      <w:pPr>
        <w:pBdr/>
        <w:spacing/>
        <w:ind w:hanging="720" w:left="720"/>
      </w:pPr>
      <w:pStyle w:val="1047"/>
      <w:rPr>
        <w:rFonts w:hint="default"/>
        <w:color w:val="000000" w:themeColor="text1"/>
      </w:rPr>
      <w:start w:val="1"/>
      <w:suff w:val="tab"/>
    </w:lvl>
    <w:lvl w:ilvl="2">
      <w:isLgl w:val="false"/>
      <w:lvlJc w:val="left"/>
      <w:lvlText w:val=""/>
      <w:numFmt w:val="bullet"/>
      <w:pPr>
        <w:pBdr/>
        <w:spacing/>
        <w:ind w:hanging="360" w:left="1080"/>
      </w:pPr>
      <w:rPr>
        <w:rFonts w:hint="default" w:ascii="Symbol" w:hAnsi="Symbol"/>
      </w:rPr>
      <w:start w:val="1"/>
      <w:suff w:val="tab"/>
    </w:lvl>
    <w:lvl w:ilvl="3">
      <w:isLgl w:val="false"/>
      <w:lvlJc w:val="left"/>
      <w:lvlText w:val="◦ "/>
      <w:numFmt w:val="none"/>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21">
    <w:nsid w:val="7DBA1081"/>
    <w:lvl w:ilvl="0">
      <w:isLgl w:val="false"/>
      <w:lvlJc w:val="left"/>
      <w:lvlText w:val="%1."/>
      <w:numFmt w:val="decimal"/>
      <w:pPr>
        <w:pBdr/>
        <w:spacing/>
        <w:ind w:hanging="360" w:left="720"/>
      </w:pPr>
      <w:pStyle w:val="1071"/>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7E1E1FA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3"/>
    <w:lvlOverride w:ilvl="0">
      <w:startOverride w:val="1"/>
    </w:lvlOverride>
    <w:lvlOverride w:ilvl="1">
      <w:startOverride w:val="10"/>
    </w:lvlOverride>
  </w:num>
  <w:num w:numId="2">
    <w:abstractNumId w:val="12"/>
  </w:num>
  <w:num w:numId="3">
    <w:abstractNumId w:val="1"/>
  </w:num>
  <w:num w:numId="4">
    <w:abstractNumId w:val="1"/>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20"/>
  </w:num>
  <w:num w:numId="8">
    <w:abstractNumId w:val="20"/>
  </w:num>
  <w:num w:numId="9">
    <w:abstractNumId w:val="21"/>
  </w:num>
  <w:num w:numId="10">
    <w:abstractNumId w:val="16"/>
  </w:num>
  <w:num w:numId="11">
    <w:abstractNumId w:val="7"/>
    <w:lvlOverride w:ilvl="0">
      <w:startOverride w:val="1"/>
    </w:lvlOverride>
  </w:num>
  <w:num w:numId="12">
    <w:abstractNumId w:val="0"/>
  </w:num>
  <w:num w:numId="13">
    <w:abstractNumId w:val="6"/>
  </w:num>
  <w:num w:numId="14">
    <w:abstractNumId w:val="8"/>
  </w:num>
  <w:num w:numId="15">
    <w:abstractNumId w:val="22"/>
  </w:num>
  <w:num w:numId="16">
    <w:abstractNumId w:val="2"/>
  </w:num>
  <w:num w:numId="17">
    <w:abstractNumId w:val="13"/>
  </w:num>
  <w:num w:numId="18">
    <w:abstractNumId w:val="10"/>
  </w:num>
  <w:num w:numId="19">
    <w:abstractNumId w:val="4"/>
  </w:num>
  <w:num w:numId="20">
    <w:abstractNumId w:val="1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num>
  <w:num w:numId="22">
    <w:abstractNumId w:val="15"/>
  </w:num>
  <w:num w:numId="23">
    <w:abstractNumId w:val="3"/>
  </w:num>
  <w:num w:numId="24">
    <w:abstractNumId w:val="11"/>
  </w:num>
  <w:num w:numId="25">
    <w:abstractNumId w:val="19"/>
  </w:num>
  <w:num w:numId="26">
    <w:abstractNumId w:val="14"/>
  </w:num>
  <w:num w:numId="27">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68">
    <w:name w:val="Table Grid Light"/>
    <w:basedOn w:val="10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Plain Table 3"/>
    <w:basedOn w:val="10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Plain Table 5"/>
    <w:basedOn w:val="10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1 Light - Accent 1"/>
    <w:basedOn w:val="10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1 Light - Accent 2"/>
    <w:basedOn w:val="10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1 Light - Accent 3"/>
    <w:basedOn w:val="10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1 Light - Accent 4"/>
    <w:basedOn w:val="10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 Accent 5"/>
    <w:basedOn w:val="10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1 Light - Accent 6"/>
    <w:basedOn w:val="10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2"/>
    <w:basedOn w:val="10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2 - Accent 1"/>
    <w:basedOn w:val="10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2 - Accent 2"/>
    <w:basedOn w:val="10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2 - Accent 3"/>
    <w:basedOn w:val="10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2 - Accent 4"/>
    <w:basedOn w:val="10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 Accent 5"/>
    <w:basedOn w:val="10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 Accent 6"/>
    <w:basedOn w:val="10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3 - Accent 1"/>
    <w:basedOn w:val="10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3 - Accent 2"/>
    <w:basedOn w:val="10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3 - Accent 3"/>
    <w:basedOn w:val="10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3 - Accent 4"/>
    <w:basedOn w:val="10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3 - Accent 5"/>
    <w:basedOn w:val="10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 Accent 6"/>
    <w:basedOn w:val="10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4"/>
    <w:basedOn w:val="101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 Accent 1"/>
    <w:basedOn w:val="101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4 - Accent 2"/>
    <w:basedOn w:val="101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4 - Accent 3"/>
    <w:basedOn w:val="101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4 - Accent 4"/>
    <w:basedOn w:val="101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4 - Accent 5"/>
    <w:basedOn w:val="101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 Accent 6"/>
    <w:basedOn w:val="101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5 Dark"/>
    <w:basedOn w:val="10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5 Dark- Accent 1"/>
    <w:basedOn w:val="10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5 Dark - Accent 2"/>
    <w:basedOn w:val="10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5 Dark - Accent 3"/>
    <w:basedOn w:val="10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5 Dark- Accent 4"/>
    <w:basedOn w:val="10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5 Dark - Accent 5"/>
    <w:basedOn w:val="10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 Accent 6"/>
    <w:basedOn w:val="10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6 Colorful"/>
    <w:basedOn w:val="101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05">
    <w:name w:val="Grid Table 6 Colorful - Accent 1"/>
    <w:basedOn w:val="101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06">
    <w:name w:val="Grid Table 6 Colorful - Accent 2"/>
    <w:basedOn w:val="10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07">
    <w:name w:val="Grid Table 6 Colorful - Accent 3"/>
    <w:basedOn w:val="101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08">
    <w:name w:val="Grid Table 6 Colorful - Accent 4"/>
    <w:basedOn w:val="10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09">
    <w:name w:val="Grid Table 6 Colorful - Accent 5"/>
    <w:basedOn w:val="101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0">
    <w:name w:val="Grid Table 6 Colorful - Accent 6"/>
    <w:basedOn w:val="101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1">
    <w:name w:val="Grid Table 7 Colorful"/>
    <w:basedOn w:val="101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7 Colorful - Accent 1"/>
    <w:basedOn w:val="101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7 Colorful - Accent 2"/>
    <w:basedOn w:val="101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7 Colorful - Accent 3"/>
    <w:basedOn w:val="101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7 Colorful - Accent 4"/>
    <w:basedOn w:val="101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7 Colorful - Accent 5"/>
    <w:basedOn w:val="101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 Accent 6"/>
    <w:basedOn w:val="101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1 Light"/>
    <w:basedOn w:val="10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1 Light - Accent 1"/>
    <w:basedOn w:val="10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1 Light - Accent 2"/>
    <w:basedOn w:val="10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1 Light - Accent 3"/>
    <w:basedOn w:val="10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1 Light - Accent 4"/>
    <w:basedOn w:val="10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1 Light - Accent 5"/>
    <w:basedOn w:val="10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 Accent 6"/>
    <w:basedOn w:val="10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2"/>
    <w:basedOn w:val="101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 Accent 1"/>
    <w:basedOn w:val="101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2 - Accent 2"/>
    <w:basedOn w:val="101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2 - Accent 3"/>
    <w:basedOn w:val="101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2 - Accent 4"/>
    <w:basedOn w:val="101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2 - Accent 5"/>
    <w:basedOn w:val="101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 Accent 6"/>
    <w:basedOn w:val="101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3 - Accent 1"/>
    <w:basedOn w:val="101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3 - Accent 2"/>
    <w:basedOn w:val="10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3 - Accent 3"/>
    <w:basedOn w:val="101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3 - Accent 4"/>
    <w:basedOn w:val="10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3 - Accent 5"/>
    <w:basedOn w:val="101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3 - Accent 6"/>
    <w:basedOn w:val="101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4"/>
    <w:basedOn w:val="10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4 - Accent 1"/>
    <w:basedOn w:val="101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4 - Accent 2"/>
    <w:basedOn w:val="101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4 - Accent 3"/>
    <w:basedOn w:val="101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4 - Accent 4"/>
    <w:basedOn w:val="101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4 - Accent 5"/>
    <w:basedOn w:val="101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4 - Accent 6"/>
    <w:basedOn w:val="101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5 Dark"/>
    <w:basedOn w:val="101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6">
    <w:name w:val="List Table 5 Dark - Accent 1"/>
    <w:basedOn w:val="101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7">
    <w:name w:val="List Table 5 Dark - Accent 2"/>
    <w:basedOn w:val="101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8">
    <w:name w:val="List Table 5 Dark - Accent 3"/>
    <w:basedOn w:val="101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9">
    <w:name w:val="List Table 5 Dark - Accent 4"/>
    <w:basedOn w:val="101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0">
    <w:name w:val="List Table 5 Dark - Accent 5"/>
    <w:basedOn w:val="101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1">
    <w:name w:val="List Table 5 Dark - Accent 6"/>
    <w:basedOn w:val="101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2">
    <w:name w:val="List Table 6 Colorful"/>
    <w:basedOn w:val="101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6 Colorful - Accent 1"/>
    <w:basedOn w:val="101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6 Colorful - Accent 2"/>
    <w:basedOn w:val="101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6 Colorful - Accent 3"/>
    <w:basedOn w:val="101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6 Colorful - Accent 4"/>
    <w:basedOn w:val="101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6 Colorful - Accent 5"/>
    <w:basedOn w:val="101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6 Colorful - Accent 6"/>
    <w:basedOn w:val="101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7 Colorful - Accent 1"/>
    <w:basedOn w:val="101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60">
    <w:name w:val="List Table 7 Colorful - Accent 2"/>
    <w:basedOn w:val="101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61">
    <w:name w:val="List Table 7 Colorful - Accent 3"/>
    <w:basedOn w:val="101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962">
    <w:name w:val="List Table 7 Colorful - Accent 4"/>
    <w:basedOn w:val="101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963">
    <w:name w:val="List Table 7 Colorful - Accent 5"/>
    <w:basedOn w:val="101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964">
    <w:name w:val="List Table 7 Colorful - Accent 6"/>
    <w:basedOn w:val="101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65">
    <w:name w:val="Lined - Accent"/>
    <w:basedOn w:val="10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ned - Accent 1"/>
    <w:basedOn w:val="10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ned - Accent 2"/>
    <w:basedOn w:val="10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ned - Accent 3"/>
    <w:basedOn w:val="10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ned - Accent 4"/>
    <w:basedOn w:val="10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ned - Accent 5"/>
    <w:basedOn w:val="10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ned - Accent 6"/>
    <w:basedOn w:val="10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amp; Lined - Accent"/>
    <w:basedOn w:val="101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amp; Lined - Accent 1"/>
    <w:basedOn w:val="101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amp; Lined - Accent 2"/>
    <w:basedOn w:val="101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amp; Lined - Accent 3"/>
    <w:basedOn w:val="101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amp; Lined - Accent 4"/>
    <w:basedOn w:val="101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amp; Lined - Accent 5"/>
    <w:basedOn w:val="101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amp; Lined - Accent 6"/>
    <w:basedOn w:val="101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w:basedOn w:val="101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 Accent 1"/>
    <w:basedOn w:val="10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 Accent 2"/>
    <w:basedOn w:val="10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 Accent 3"/>
    <w:basedOn w:val="10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 Accent 4"/>
    <w:basedOn w:val="10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 Accent 5"/>
    <w:basedOn w:val="10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 Accent 6"/>
    <w:basedOn w:val="10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6">
    <w:name w:val="No Spacing"/>
    <w:basedOn w:val="1001"/>
    <w:uiPriority w:val="1"/>
    <w:qFormat/>
    <w:pPr>
      <w:pBdr/>
      <w:spacing w:after="0" w:line="240" w:lineRule="auto"/>
      <w:ind/>
    </w:pPr>
  </w:style>
  <w:style w:type="character" w:styleId="987">
    <w:name w:val="Subtle Emphasis"/>
    <w:basedOn w:val="1011"/>
    <w:uiPriority w:val="19"/>
    <w:qFormat/>
    <w:pPr>
      <w:pBdr/>
      <w:spacing/>
      <w:ind/>
    </w:pPr>
    <w:rPr>
      <w:i/>
      <w:iCs/>
      <w:color w:val="404040" w:themeColor="text1" w:themeTint="BF"/>
    </w:rPr>
  </w:style>
  <w:style w:type="character" w:styleId="988">
    <w:name w:val="Emphasis"/>
    <w:basedOn w:val="1011"/>
    <w:uiPriority w:val="20"/>
    <w:qFormat/>
    <w:pPr>
      <w:pBdr/>
      <w:spacing/>
      <w:ind/>
    </w:pPr>
    <w:rPr>
      <w:i/>
      <w:iCs/>
    </w:rPr>
  </w:style>
  <w:style w:type="character" w:styleId="989">
    <w:name w:val="Strong"/>
    <w:basedOn w:val="1011"/>
    <w:uiPriority w:val="22"/>
    <w:qFormat/>
    <w:pPr>
      <w:pBdr/>
      <w:spacing/>
      <w:ind/>
    </w:pPr>
    <w:rPr>
      <w:b/>
      <w:bCs/>
    </w:rPr>
  </w:style>
  <w:style w:type="character" w:styleId="990">
    <w:name w:val="Subtle Reference"/>
    <w:basedOn w:val="1011"/>
    <w:uiPriority w:val="31"/>
    <w:qFormat/>
    <w:pPr>
      <w:pBdr/>
      <w:spacing/>
      <w:ind/>
    </w:pPr>
    <w:rPr>
      <w:smallCaps/>
      <w:color w:val="5a5a5a" w:themeColor="text1" w:themeTint="A5"/>
    </w:rPr>
  </w:style>
  <w:style w:type="paragraph" w:styleId="991">
    <w:name w:val="endnote text"/>
    <w:basedOn w:val="1001"/>
    <w:link w:val="992"/>
    <w:uiPriority w:val="99"/>
    <w:semiHidden/>
    <w:unhideWhenUsed/>
    <w:pPr>
      <w:pBdr/>
      <w:spacing w:after="0" w:line="240" w:lineRule="auto"/>
      <w:ind/>
    </w:pPr>
    <w:rPr>
      <w:sz w:val="20"/>
      <w:szCs w:val="20"/>
    </w:rPr>
  </w:style>
  <w:style w:type="character" w:styleId="992">
    <w:name w:val="Endnote Text Char"/>
    <w:basedOn w:val="1011"/>
    <w:link w:val="991"/>
    <w:uiPriority w:val="99"/>
    <w:semiHidden/>
    <w:pPr>
      <w:pBdr/>
      <w:spacing/>
      <w:ind/>
    </w:pPr>
    <w:rPr>
      <w:sz w:val="20"/>
      <w:szCs w:val="20"/>
    </w:rPr>
  </w:style>
  <w:style w:type="character" w:styleId="993">
    <w:name w:val="endnote reference"/>
    <w:basedOn w:val="1011"/>
    <w:uiPriority w:val="99"/>
    <w:semiHidden/>
    <w:unhideWhenUsed/>
    <w:pPr>
      <w:pBdr/>
      <w:spacing/>
      <w:ind/>
    </w:pPr>
    <w:rPr>
      <w:vertAlign w:val="superscript"/>
    </w:rPr>
  </w:style>
  <w:style w:type="paragraph" w:styleId="994">
    <w:name w:val="toc 4"/>
    <w:basedOn w:val="1001"/>
    <w:next w:val="1001"/>
    <w:uiPriority w:val="39"/>
    <w:unhideWhenUsed/>
    <w:pPr>
      <w:pBdr/>
      <w:spacing w:after="100"/>
      <w:ind w:left="660"/>
    </w:pPr>
  </w:style>
  <w:style w:type="paragraph" w:styleId="995">
    <w:name w:val="toc 5"/>
    <w:basedOn w:val="1001"/>
    <w:next w:val="1001"/>
    <w:uiPriority w:val="39"/>
    <w:unhideWhenUsed/>
    <w:pPr>
      <w:pBdr/>
      <w:spacing w:after="100"/>
      <w:ind w:left="880"/>
    </w:pPr>
  </w:style>
  <w:style w:type="paragraph" w:styleId="996">
    <w:name w:val="toc 6"/>
    <w:basedOn w:val="1001"/>
    <w:next w:val="1001"/>
    <w:uiPriority w:val="39"/>
    <w:unhideWhenUsed/>
    <w:pPr>
      <w:pBdr/>
      <w:spacing w:after="100"/>
      <w:ind w:left="1100"/>
    </w:pPr>
  </w:style>
  <w:style w:type="paragraph" w:styleId="997">
    <w:name w:val="toc 7"/>
    <w:basedOn w:val="1001"/>
    <w:next w:val="1001"/>
    <w:uiPriority w:val="39"/>
    <w:unhideWhenUsed/>
    <w:pPr>
      <w:pBdr/>
      <w:spacing w:after="100"/>
      <w:ind w:left="1320"/>
    </w:pPr>
  </w:style>
  <w:style w:type="paragraph" w:styleId="998">
    <w:name w:val="toc 8"/>
    <w:basedOn w:val="1001"/>
    <w:next w:val="1001"/>
    <w:uiPriority w:val="39"/>
    <w:unhideWhenUsed/>
    <w:pPr>
      <w:pBdr/>
      <w:spacing w:after="100"/>
      <w:ind w:left="1540"/>
    </w:pPr>
  </w:style>
  <w:style w:type="paragraph" w:styleId="999">
    <w:name w:val="toc 9"/>
    <w:basedOn w:val="1001"/>
    <w:next w:val="1001"/>
    <w:uiPriority w:val="39"/>
    <w:unhideWhenUsed/>
    <w:pPr>
      <w:pBdr/>
      <w:spacing w:after="100"/>
      <w:ind w:left="1760"/>
    </w:pPr>
  </w:style>
  <w:style w:type="paragraph" w:styleId="1000">
    <w:name w:val="table of figures"/>
    <w:basedOn w:val="1001"/>
    <w:next w:val="1001"/>
    <w:uiPriority w:val="99"/>
    <w:unhideWhenUsed/>
    <w:pPr>
      <w:pBdr/>
      <w:spacing w:after="0" w:afterAutospacing="0"/>
      <w:ind/>
    </w:pPr>
  </w:style>
  <w:style w:type="paragraph" w:styleId="1001" w:default="1">
    <w:name w:val="Normal"/>
    <w:uiPriority w:val="1"/>
    <w:qFormat/>
    <w:pPr>
      <w:pBdr/>
      <w:spacing w:after="120" w:line="276" w:lineRule="auto"/>
      <w:ind/>
    </w:pPr>
    <w:rPr>
      <w:rFonts w:ascii="Aptos" w:hAnsi="Aptos" w:cstheme="minorHAnsi"/>
      <w:sz w:val="24"/>
      <w:szCs w:val="24"/>
    </w:rPr>
  </w:style>
  <w:style w:type="paragraph" w:styleId="1002">
    <w:name w:val="Heading 1"/>
    <w:basedOn w:val="1001"/>
    <w:next w:val="1001"/>
    <w:link w:val="1014"/>
    <w:pPr>
      <w:pBdr/>
      <w:shd w:val="clear" w:color="auto" w:fill="ffffff"/>
      <w:spacing w:line="240" w:lineRule="auto"/>
      <w:ind/>
      <w:outlineLvl w:val="0"/>
    </w:pPr>
    <w:rPr>
      <w:rFonts w:eastAsia="Calibri" w:cstheme="majorBidi"/>
      <w:bCs/>
      <w:sz w:val="44"/>
      <w:szCs w:val="20"/>
    </w:rPr>
  </w:style>
  <w:style w:type="paragraph" w:styleId="1003">
    <w:name w:val="Heading 2"/>
    <w:basedOn w:val="1001"/>
    <w:next w:val="1001"/>
    <w:link w:val="1015"/>
    <w:qFormat/>
    <w:pPr>
      <w:keepNext w:val="true"/>
      <w:pBdr/>
      <w:spacing w:after="60" w:before="360"/>
      <w:ind/>
      <w:outlineLvl w:val="1"/>
    </w:pPr>
    <w:rPr>
      <w:b/>
      <w:bCs/>
      <w:sz w:val="40"/>
      <w:szCs w:val="40"/>
    </w:rPr>
  </w:style>
  <w:style w:type="paragraph" w:styleId="1004">
    <w:name w:val="Heading 3"/>
    <w:next w:val="1001"/>
    <w:link w:val="1016"/>
    <w:qFormat/>
    <w:pPr>
      <w:keepNext w:val="true"/>
      <w:pBdr/>
      <w:spacing w:after="60" w:before="240" w:line="276" w:lineRule="auto"/>
      <w:ind/>
      <w:outlineLvl w:val="2"/>
    </w:pPr>
    <w:rPr>
      <w:rFonts w:ascii="Aptos" w:hAnsi="Aptos"/>
      <w:sz w:val="36"/>
      <w:szCs w:val="36"/>
    </w:rPr>
  </w:style>
  <w:style w:type="paragraph" w:styleId="1005">
    <w:name w:val="Heading 4"/>
    <w:next w:val="1001"/>
    <w:link w:val="1017"/>
    <w:unhideWhenUsed/>
    <w:qFormat/>
    <w:pPr>
      <w:keepNext w:val="true"/>
      <w:pBdr/>
      <w:spacing w:after="60" w:before="160" w:line="276" w:lineRule="auto"/>
      <w:ind/>
      <w:outlineLvl w:val="3"/>
    </w:pPr>
    <w:rPr>
      <w:rFonts w:ascii="Aptos" w:hAnsi="Aptos"/>
      <w:sz w:val="32"/>
      <w:szCs w:val="32"/>
    </w:rPr>
  </w:style>
  <w:style w:type="paragraph" w:styleId="1006">
    <w:name w:val="Heading 5"/>
    <w:next w:val="1001"/>
    <w:link w:val="1018"/>
    <w:unhideWhenUsed/>
    <w:pPr>
      <w:keepNext w:val="true"/>
      <w:pBdr/>
      <w:spacing w:after="60" w:before="240" w:line="276" w:lineRule="auto"/>
      <w:ind/>
      <w:outlineLvl w:val="4"/>
    </w:pPr>
    <w:rPr>
      <w:rFonts w:ascii="Aptos Narrow" w:hAnsi="Aptos Narrow"/>
      <w:sz w:val="28"/>
      <w:szCs w:val="28"/>
    </w:rPr>
  </w:style>
  <w:style w:type="paragraph" w:styleId="1007">
    <w:name w:val="Heading 6"/>
    <w:next w:val="1001"/>
    <w:link w:val="1019"/>
    <w:unhideWhenUsed/>
    <w:qFormat/>
    <w:pPr>
      <w:keepNext w:val="true"/>
      <w:pBdr/>
      <w:spacing w:after="60" w:before="160" w:line="276" w:lineRule="auto"/>
      <w:ind/>
      <w:outlineLvl w:val="5"/>
    </w:pPr>
    <w:rPr>
      <w:rFonts w:ascii="Aptos Narrow" w:hAnsi="Aptos Narrow"/>
      <w:b/>
      <w:bCs/>
      <w:sz w:val="24"/>
      <w:szCs w:val="24"/>
    </w:rPr>
  </w:style>
  <w:style w:type="paragraph" w:styleId="1008">
    <w:name w:val="Heading 7"/>
    <w:basedOn w:val="1001"/>
    <w:next w:val="1001"/>
    <w:link w:val="1020"/>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1009">
    <w:name w:val="Heading 8"/>
    <w:basedOn w:val="1001"/>
    <w:next w:val="1001"/>
    <w:link w:val="1021"/>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1010">
    <w:name w:val="Heading 9"/>
    <w:basedOn w:val="1001"/>
    <w:next w:val="1001"/>
    <w:link w:val="1022"/>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1011" w:default="1">
    <w:name w:val="Default Paragraph Font"/>
    <w:uiPriority w:val="1"/>
    <w:semiHidden/>
    <w:unhideWhenUsed/>
    <w:pPr>
      <w:pBdr/>
      <w:spacing/>
      <w:ind/>
    </w:pPr>
  </w:style>
  <w:style w:type="table" w:styleId="101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3" w:default="1">
    <w:name w:val="No List"/>
    <w:uiPriority w:val="99"/>
    <w:semiHidden/>
    <w:unhideWhenUsed/>
    <w:pPr>
      <w:pBdr/>
      <w:spacing/>
      <w:ind/>
    </w:pPr>
  </w:style>
  <w:style w:type="character" w:styleId="1014" w:customStyle="1">
    <w:name w:val="Heading 1 Char"/>
    <w:basedOn w:val="1011"/>
    <w:link w:val="1002"/>
    <w:pPr>
      <w:pBdr/>
      <w:spacing/>
      <w:ind/>
    </w:pPr>
    <w:rPr>
      <w:rFonts w:ascii="Aptos" w:hAnsi="Aptos" w:eastAsia="Calibri" w:cstheme="majorBidi"/>
      <w:bCs/>
      <w:sz w:val="44"/>
      <w:szCs w:val="20"/>
      <w:shd w:val="clear" w:color="auto" w:fill="ffffff"/>
    </w:rPr>
  </w:style>
  <w:style w:type="character" w:styleId="1015" w:customStyle="1">
    <w:name w:val="Heading 2 Char"/>
    <w:basedOn w:val="1011"/>
    <w:link w:val="1003"/>
    <w:pPr>
      <w:pBdr/>
      <w:spacing/>
      <w:ind/>
    </w:pPr>
    <w:rPr>
      <w:rFonts w:ascii="Aptos" w:hAnsi="Aptos" w:cstheme="minorHAnsi"/>
      <w:b/>
      <w:bCs/>
      <w:sz w:val="40"/>
      <w:szCs w:val="40"/>
    </w:rPr>
  </w:style>
  <w:style w:type="character" w:styleId="1016" w:customStyle="1">
    <w:name w:val="Heading 3 Char"/>
    <w:basedOn w:val="1011"/>
    <w:link w:val="1004"/>
    <w:uiPriority w:val="1"/>
    <w:pPr>
      <w:pBdr/>
      <w:spacing/>
      <w:ind/>
    </w:pPr>
    <w:rPr>
      <w:rFonts w:ascii="Aptos" w:hAnsi="Aptos"/>
      <w:sz w:val="36"/>
      <w:szCs w:val="36"/>
    </w:rPr>
  </w:style>
  <w:style w:type="character" w:styleId="1017" w:customStyle="1">
    <w:name w:val="Heading 4 Char"/>
    <w:basedOn w:val="1011"/>
    <w:link w:val="1005"/>
    <w:pPr>
      <w:pBdr/>
      <w:spacing/>
      <w:ind/>
    </w:pPr>
    <w:rPr>
      <w:rFonts w:ascii="Aptos" w:hAnsi="Aptos"/>
      <w:sz w:val="32"/>
      <w:szCs w:val="32"/>
    </w:rPr>
  </w:style>
  <w:style w:type="character" w:styleId="1018" w:customStyle="1">
    <w:name w:val="Heading 5 Char"/>
    <w:basedOn w:val="1011"/>
    <w:link w:val="1006"/>
    <w:pPr>
      <w:pBdr/>
      <w:spacing/>
      <w:ind/>
    </w:pPr>
    <w:rPr>
      <w:rFonts w:ascii="Aptos Narrow" w:hAnsi="Aptos Narrow"/>
      <w:sz w:val="28"/>
      <w:szCs w:val="28"/>
    </w:rPr>
  </w:style>
  <w:style w:type="character" w:styleId="1019" w:customStyle="1">
    <w:name w:val="Heading 6 Char"/>
    <w:basedOn w:val="1011"/>
    <w:link w:val="1007"/>
    <w:pPr>
      <w:pBdr/>
      <w:spacing/>
      <w:ind/>
    </w:pPr>
    <w:rPr>
      <w:rFonts w:ascii="Aptos Narrow" w:hAnsi="Aptos Narrow"/>
      <w:b/>
      <w:bCs/>
      <w:sz w:val="24"/>
      <w:szCs w:val="24"/>
    </w:rPr>
  </w:style>
  <w:style w:type="character" w:styleId="1020" w:customStyle="1">
    <w:name w:val="Heading 7 Char"/>
    <w:basedOn w:val="1011"/>
    <w:link w:val="1008"/>
    <w:semiHidden/>
    <w:pPr>
      <w:pBdr/>
      <w:spacing/>
      <w:ind/>
    </w:pPr>
    <w:rPr>
      <w:rFonts w:ascii="Aptos" w:hAnsi="Aptos" w:eastAsiaTheme="majorEastAsia" w:cstheme="majorBidi"/>
      <w:color w:val="595959" w:themeColor="text1" w:themeTint="A6"/>
      <w:sz w:val="24"/>
      <w:szCs w:val="24"/>
    </w:rPr>
  </w:style>
  <w:style w:type="character" w:styleId="1021" w:customStyle="1">
    <w:name w:val="Heading 8 Char"/>
    <w:basedOn w:val="1011"/>
    <w:link w:val="1009"/>
    <w:semiHidden/>
    <w:pPr>
      <w:pBdr/>
      <w:spacing/>
      <w:ind/>
    </w:pPr>
    <w:rPr>
      <w:rFonts w:ascii="Aptos" w:hAnsi="Aptos" w:eastAsiaTheme="majorEastAsia" w:cstheme="majorBidi"/>
      <w:i/>
      <w:iCs/>
      <w:color w:val="272727" w:themeColor="text1" w:themeTint="D8"/>
      <w:sz w:val="24"/>
      <w:szCs w:val="24"/>
    </w:rPr>
  </w:style>
  <w:style w:type="character" w:styleId="1022" w:customStyle="1">
    <w:name w:val="Heading 9 Char"/>
    <w:basedOn w:val="1011"/>
    <w:link w:val="1010"/>
    <w:semiHidden/>
    <w:pPr>
      <w:pBdr/>
      <w:spacing/>
      <w:ind/>
    </w:pPr>
    <w:rPr>
      <w:rFonts w:ascii="Aptos" w:hAnsi="Aptos" w:eastAsiaTheme="majorEastAsia" w:cstheme="majorBidi"/>
      <w:color w:val="272727" w:themeColor="text1" w:themeTint="D8"/>
      <w:sz w:val="24"/>
      <w:szCs w:val="24"/>
    </w:rPr>
  </w:style>
  <w:style w:type="paragraph" w:styleId="1023">
    <w:name w:val="Title"/>
    <w:basedOn w:val="1001"/>
    <w:next w:val="1001"/>
    <w:link w:val="1024"/>
    <w:uiPriority w:val="10"/>
    <w:pPr>
      <w:pBdr/>
      <w:spacing w:after="80" w:line="240" w:lineRule="auto"/>
      <w:ind/>
      <w:contextualSpacing w:val="true"/>
    </w:pPr>
    <w:rPr>
      <w:rFonts w:asciiTheme="majorHAnsi" w:hAnsiTheme="majorHAnsi" w:eastAsiaTheme="majorEastAsia" w:cstheme="majorBidi"/>
      <w:spacing w:val="-10"/>
      <w:sz w:val="56"/>
      <w:szCs w:val="56"/>
    </w:rPr>
  </w:style>
  <w:style w:type="character" w:styleId="1024" w:customStyle="1">
    <w:name w:val="Title Char"/>
    <w:basedOn w:val="1011"/>
    <w:link w:val="1023"/>
    <w:uiPriority w:val="10"/>
    <w:pPr>
      <w:pBdr/>
      <w:spacing/>
      <w:ind/>
    </w:pPr>
    <w:rPr>
      <w:rFonts w:asciiTheme="majorHAnsi" w:hAnsiTheme="majorHAnsi" w:eastAsiaTheme="majorEastAsia" w:cstheme="majorBidi"/>
      <w:spacing w:val="-10"/>
      <w:sz w:val="56"/>
      <w:szCs w:val="56"/>
    </w:rPr>
  </w:style>
  <w:style w:type="paragraph" w:styleId="1025">
    <w:name w:val="Subtitle"/>
    <w:basedOn w:val="1001"/>
    <w:next w:val="1001"/>
    <w:link w:val="1026"/>
    <w:uiPriority w:val="11"/>
    <w:qFormat/>
    <w:pPr>
      <w:numPr>
        <w:ilvl w:val="1"/>
      </w:numPr>
      <w:pBdr/>
      <w:spacing/>
      <w:ind/>
    </w:pPr>
    <w:rPr>
      <w:rFonts w:eastAsiaTheme="majorEastAsia" w:cstheme="majorBidi"/>
      <w:color w:val="595959" w:themeColor="text1" w:themeTint="A6"/>
      <w:spacing w:val="15"/>
      <w:sz w:val="28"/>
      <w:szCs w:val="28"/>
    </w:rPr>
  </w:style>
  <w:style w:type="character" w:styleId="1026" w:customStyle="1">
    <w:name w:val="Subtitle Char"/>
    <w:basedOn w:val="1011"/>
    <w:link w:val="1025"/>
    <w:uiPriority w:val="11"/>
    <w:pPr>
      <w:pBdr/>
      <w:spacing/>
      <w:ind/>
    </w:pPr>
    <w:rPr>
      <w:rFonts w:eastAsiaTheme="majorEastAsia" w:cstheme="majorBidi"/>
      <w:color w:val="595959" w:themeColor="text1" w:themeTint="A6"/>
      <w:spacing w:val="15"/>
      <w:sz w:val="28"/>
      <w:szCs w:val="28"/>
    </w:rPr>
  </w:style>
  <w:style w:type="paragraph" w:styleId="1027">
    <w:name w:val="Quote"/>
    <w:basedOn w:val="1001"/>
    <w:next w:val="1001"/>
    <w:link w:val="1028"/>
    <w:uiPriority w:val="29"/>
    <w:pPr>
      <w:pBdr/>
      <w:spacing w:before="160"/>
      <w:ind/>
      <w:jc w:val="center"/>
    </w:pPr>
    <w:rPr>
      <w:i/>
      <w:iCs/>
      <w:color w:val="404040" w:themeColor="text1" w:themeTint="BF"/>
    </w:rPr>
  </w:style>
  <w:style w:type="character" w:styleId="1028" w:customStyle="1">
    <w:name w:val="Quote Char"/>
    <w:basedOn w:val="1011"/>
    <w:link w:val="1027"/>
    <w:uiPriority w:val="29"/>
    <w:pPr>
      <w:pBdr/>
      <w:spacing/>
      <w:ind/>
    </w:pPr>
    <w:rPr>
      <w:rFonts w:ascii="Aptos" w:hAnsi="Aptos" w:cstheme="minorHAnsi"/>
      <w:i/>
      <w:iCs/>
      <w:color w:val="404040" w:themeColor="text1" w:themeTint="BF"/>
      <w:sz w:val="24"/>
      <w:szCs w:val="24"/>
    </w:rPr>
  </w:style>
  <w:style w:type="paragraph" w:styleId="1029">
    <w:name w:val="List Paragraph"/>
    <w:basedOn w:val="1001"/>
    <w:link w:val="1051"/>
    <w:uiPriority w:val="34"/>
    <w:qFormat/>
    <w:pPr>
      <w:numPr>
        <w:numId w:val="2"/>
      </w:numPr>
      <w:pBdr/>
      <w:spacing/>
      <w:ind/>
      <w:contextualSpacing w:val="true"/>
    </w:pPr>
  </w:style>
  <w:style w:type="character" w:styleId="1030">
    <w:name w:val="Intense Emphasis"/>
    <w:basedOn w:val="1011"/>
    <w:uiPriority w:val="21"/>
    <w:pPr>
      <w:pBdr/>
      <w:spacing/>
      <w:ind/>
    </w:pPr>
    <w:rPr>
      <w:i/>
      <w:iCs/>
      <w:color w:val="0f4761" w:themeColor="accent1" w:themeShade="BF"/>
    </w:rPr>
  </w:style>
  <w:style w:type="paragraph" w:styleId="1031">
    <w:name w:val="Intense Quote"/>
    <w:basedOn w:val="1001"/>
    <w:next w:val="1001"/>
    <w:link w:val="1032"/>
    <w:uiPriority w:val="30"/>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32" w:customStyle="1">
    <w:name w:val="Intense Quote Char"/>
    <w:basedOn w:val="1011"/>
    <w:link w:val="1031"/>
    <w:uiPriority w:val="30"/>
    <w:pPr>
      <w:pBdr/>
      <w:spacing/>
      <w:ind/>
    </w:pPr>
    <w:rPr>
      <w:rFonts w:ascii="Aptos" w:hAnsi="Aptos" w:cstheme="minorHAnsi"/>
      <w:i/>
      <w:iCs/>
      <w:color w:val="0f4761" w:themeColor="accent1" w:themeShade="BF"/>
      <w:sz w:val="24"/>
      <w:szCs w:val="24"/>
    </w:rPr>
  </w:style>
  <w:style w:type="character" w:styleId="1033">
    <w:name w:val="Intense Reference"/>
    <w:basedOn w:val="1011"/>
    <w:uiPriority w:val="32"/>
    <w:pPr>
      <w:pBdr/>
      <w:spacing/>
      <w:ind/>
    </w:pPr>
    <w:rPr>
      <w:b/>
      <w:bCs/>
      <w:smallCaps/>
      <w:color w:val="0f4761" w:themeColor="accent1" w:themeShade="BF"/>
      <w:spacing w:val="5"/>
    </w:rPr>
  </w:style>
  <w:style w:type="paragraph" w:styleId="1034">
    <w:name w:val="Header"/>
    <w:basedOn w:val="1001"/>
    <w:link w:val="1035"/>
    <w:uiPriority w:val="99"/>
    <w:unhideWhenUsed/>
    <w:pPr>
      <w:pBdr/>
      <w:tabs>
        <w:tab w:val="center" w:leader="none" w:pos="4513"/>
        <w:tab w:val="right" w:leader="none" w:pos="9026"/>
      </w:tabs>
      <w:spacing w:after="0" w:line="240" w:lineRule="auto"/>
      <w:ind/>
      <w:jc w:val="right"/>
    </w:pPr>
  </w:style>
  <w:style w:type="character" w:styleId="1035" w:customStyle="1">
    <w:name w:val="Header Char"/>
    <w:basedOn w:val="1011"/>
    <w:link w:val="1034"/>
    <w:uiPriority w:val="99"/>
    <w:pPr>
      <w:pBdr/>
      <w:spacing/>
      <w:ind/>
    </w:pPr>
    <w:rPr>
      <w:rFonts w:ascii="Aptos" w:hAnsi="Aptos" w:cstheme="minorHAnsi"/>
      <w:sz w:val="24"/>
      <w:szCs w:val="24"/>
    </w:rPr>
  </w:style>
  <w:style w:type="paragraph" w:styleId="1036">
    <w:name w:val="Footer"/>
    <w:basedOn w:val="1001"/>
    <w:link w:val="1037"/>
    <w:uiPriority w:val="99"/>
    <w:unhideWhenUsed/>
    <w:pPr>
      <w:pBdr/>
      <w:tabs>
        <w:tab w:val="center" w:leader="none" w:pos="4513"/>
        <w:tab w:val="right" w:leader="none" w:pos="9026"/>
      </w:tabs>
      <w:spacing w:after="0" w:line="240" w:lineRule="auto"/>
      <w:ind/>
    </w:pPr>
  </w:style>
  <w:style w:type="character" w:styleId="1037" w:customStyle="1">
    <w:name w:val="Footer Char"/>
    <w:basedOn w:val="1011"/>
    <w:link w:val="1036"/>
    <w:uiPriority w:val="99"/>
    <w:pPr>
      <w:pBdr/>
      <w:spacing/>
      <w:ind/>
    </w:pPr>
    <w:rPr>
      <w:rFonts w:ascii="Aptos" w:hAnsi="Aptos" w:cstheme="minorHAnsi"/>
      <w:sz w:val="24"/>
      <w:szCs w:val="24"/>
    </w:rPr>
  </w:style>
  <w:style w:type="character" w:styleId="1038">
    <w:name w:val="Hyperlink"/>
    <w:basedOn w:val="1064"/>
    <w:uiPriority w:val="99"/>
    <w:unhideWhenUsed/>
    <w:pPr>
      <w:pBdr/>
      <w:spacing/>
      <w:ind/>
    </w:pPr>
    <w:rPr>
      <w:color w:val="467886" w:themeColor="hyperlink"/>
      <w:szCs w:val="22"/>
      <w:u w:val="single"/>
    </w:rPr>
  </w:style>
  <w:style w:type="paragraph" w:styleId="1039">
    <w:name w:val="Body Text"/>
    <w:link w:val="1040"/>
    <w:qFormat/>
    <w:pPr>
      <w:pBdr/>
      <w:spacing w:after="120" w:line="240" w:lineRule="auto"/>
      <w:ind/>
    </w:pPr>
    <w:rPr>
      <w:rFonts w:ascii="Poppins" w:hAnsi="Poppins"/>
      <w:color w:val="000000" w:themeColor="text1"/>
      <w:sz w:val="20"/>
      <w:szCs w:val="20"/>
    </w:rPr>
  </w:style>
  <w:style w:type="character" w:styleId="1040" w:customStyle="1">
    <w:name w:val="Body Text Char"/>
    <w:basedOn w:val="1011"/>
    <w:link w:val="1039"/>
    <w:pPr>
      <w:pBdr/>
      <w:spacing/>
      <w:ind/>
    </w:pPr>
    <w:rPr>
      <w:rFonts w:ascii="Poppins" w:hAnsi="Poppins"/>
      <w:color w:val="000000" w:themeColor="text1"/>
      <w:sz w:val="20"/>
      <w:szCs w:val="20"/>
    </w:rPr>
  </w:style>
  <w:style w:type="character" w:styleId="1041">
    <w:name w:val="Unresolved Mention"/>
    <w:basedOn w:val="1011"/>
    <w:uiPriority w:val="99"/>
    <w:semiHidden/>
    <w:unhideWhenUsed/>
    <w:pPr>
      <w:pBdr/>
      <w:spacing/>
      <w:ind/>
    </w:pPr>
    <w:rPr>
      <w:color w:val="605e5c"/>
      <w:shd w:val="clear" w:color="auto" w:fill="e1dfdd"/>
    </w:rPr>
  </w:style>
  <w:style w:type="table" w:styleId="1042">
    <w:name w:val="Table Grid"/>
    <w:basedOn w:val="1012"/>
    <w:uiPriority w:val="39"/>
    <w:pPr>
      <w:pBdr/>
      <w:spacing w:after="0" w:before="120" w:line="240" w:lineRule="auto"/>
      <w:ind/>
    </w:pPr>
    <w:tblPr>
      <w:tblCellMar>
        <w:top w:w="28" w:type="dxa"/>
        <w:bottom w:w="28" w:type="dxa"/>
      </w:tblCellMar>
      <w:tbl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insideH w:val="single" w:color="404040" w:themeColor="text1" w:themeTint="BF" w:sz="4" w:space="0"/>
        <w:insideV w:val="single" w:color="404040" w:themeColor="text1" w:themeTint="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rPr>
      <w:pPr>
        <w:pBdr/>
        <w:spacing/>
        <w:ind/>
      </w:pPr>
      <w:tblPr>
        <w:tblBorders/>
      </w:tblPr>
      <w:trPr>
        <w:cantSplit/>
      </w:tr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3">
    <w:name w:val="annotation reference"/>
    <w:basedOn w:val="1011"/>
    <w:uiPriority w:val="99"/>
    <w:unhideWhenUsed/>
    <w:pPr>
      <w:pBdr/>
      <w:spacing/>
      <w:ind/>
    </w:pPr>
    <w:rPr>
      <w:sz w:val="16"/>
      <w:szCs w:val="16"/>
    </w:rPr>
  </w:style>
  <w:style w:type="paragraph" w:styleId="1044">
    <w:name w:val="annotation text"/>
    <w:basedOn w:val="1001"/>
    <w:link w:val="1045"/>
    <w:unhideWhenUsed/>
    <w:pPr>
      <w:pBdr/>
      <w:spacing w:after="0" w:before="120" w:line="240" w:lineRule="auto"/>
      <w:ind/>
    </w:pPr>
    <w:rPr>
      <w:rFonts w:ascii="Verdana" w:hAnsi="Verdana"/>
      <w:sz w:val="20"/>
      <w:szCs w:val="20"/>
    </w:rPr>
  </w:style>
  <w:style w:type="character" w:styleId="1045" w:customStyle="1">
    <w:name w:val="Comment Text Char"/>
    <w:basedOn w:val="1011"/>
    <w:link w:val="1044"/>
    <w:pPr>
      <w:pBdr/>
      <w:spacing/>
      <w:ind/>
    </w:pPr>
    <w:rPr>
      <w:rFonts w:ascii="Verdana" w:hAnsi="Verdana"/>
      <w:sz w:val="20"/>
      <w:szCs w:val="20"/>
    </w:rPr>
  </w:style>
  <w:style w:type="character" w:styleId="1046" w:customStyle="1">
    <w:name w:val="cf01"/>
    <w:basedOn w:val="1011"/>
    <w:pPr>
      <w:pBdr/>
      <w:spacing/>
      <w:ind/>
    </w:pPr>
    <w:rPr>
      <w:rFonts w:hint="default" w:ascii="Segoe UI" w:hAnsi="Segoe UI" w:cs="Segoe UI"/>
      <w:sz w:val="18"/>
      <w:szCs w:val="18"/>
    </w:rPr>
  </w:style>
  <w:style w:type="paragraph" w:styleId="1047" w:customStyle="1">
    <w:name w:val="Numbered Normal"/>
    <w:basedOn w:val="1001"/>
    <w:link w:val="1049"/>
    <w:qFormat/>
    <w:pPr>
      <w:numPr>
        <w:ilvl w:val="1"/>
        <w:numId w:val="8"/>
      </w:numPr>
      <w:pBdr/>
      <w:spacing/>
      <w:ind/>
    </w:pPr>
  </w:style>
  <w:style w:type="paragraph" w:styleId="1048" w:customStyle="1">
    <w:name w:val="Bulletted Normal"/>
    <w:basedOn w:val="1047"/>
    <w:link w:val="1050"/>
    <w:uiPriority w:val="99"/>
    <w:qFormat/>
    <w:pPr>
      <w:numPr>
        <w:ilvl w:val="2"/>
        <w:numId w:val="10"/>
      </w:numPr>
      <w:pBdr/>
      <w:spacing/>
      <w:ind/>
    </w:pPr>
  </w:style>
  <w:style w:type="character" w:styleId="1049" w:customStyle="1">
    <w:name w:val="Numbered Normal Char"/>
    <w:basedOn w:val="1011"/>
    <w:link w:val="1047"/>
    <w:pPr>
      <w:pBdr/>
      <w:spacing/>
      <w:ind/>
    </w:pPr>
    <w:rPr>
      <w:rFonts w:ascii="Aptos" w:hAnsi="Aptos" w:cstheme="minorHAnsi"/>
      <w:sz w:val="24"/>
      <w:szCs w:val="24"/>
    </w:rPr>
  </w:style>
  <w:style w:type="character" w:styleId="1050" w:customStyle="1">
    <w:name w:val="Bulletted Normal Char"/>
    <w:basedOn w:val="1049"/>
    <w:link w:val="1048"/>
    <w:uiPriority w:val="99"/>
    <w:pPr>
      <w:pBdr/>
      <w:spacing/>
      <w:ind/>
    </w:pPr>
    <w:rPr>
      <w:rFonts w:ascii="Aptos" w:hAnsi="Aptos" w:cstheme="minorHAnsi"/>
      <w:sz w:val="24"/>
      <w:szCs w:val="24"/>
    </w:rPr>
  </w:style>
  <w:style w:type="character" w:styleId="1051" w:customStyle="1">
    <w:name w:val="List Paragraph Char"/>
    <w:basedOn w:val="1011"/>
    <w:link w:val="1029"/>
    <w:uiPriority w:val="34"/>
    <w:pPr>
      <w:pBdr/>
      <w:spacing/>
      <w:ind/>
    </w:pPr>
    <w:rPr>
      <w:rFonts w:ascii="Aptos" w:hAnsi="Aptos" w:cstheme="minorHAnsi"/>
      <w:sz w:val="24"/>
      <w:szCs w:val="24"/>
    </w:rPr>
  </w:style>
  <w:style w:type="paragraph" w:styleId="1052" w:customStyle="1">
    <w:name w:val="Appendix Heading 2"/>
    <w:basedOn w:val="1029"/>
    <w:next w:val="1001"/>
    <w:uiPriority w:val="1"/>
    <w:pPr>
      <w:numPr>
        <w:numId w:val="4"/>
      </w:numPr>
      <w:pBdr/>
      <w:spacing/>
      <w:ind/>
    </w:pPr>
    <w:rPr>
      <w:b/>
      <w:bCs/>
      <w:sz w:val="48"/>
      <w:szCs w:val="48"/>
    </w:rPr>
  </w:style>
  <w:style w:type="paragraph" w:styleId="1053" w:customStyle="1">
    <w:name w:val="Appendix numbered"/>
    <w:basedOn w:val="1001"/>
    <w:uiPriority w:val="1"/>
    <w:qFormat/>
    <w:pPr>
      <w:numPr>
        <w:ilvl w:val="1"/>
        <w:numId w:val="4"/>
      </w:numPr>
      <w:pBdr/>
      <w:spacing/>
      <w:ind/>
    </w:pPr>
  </w:style>
  <w:style w:type="paragraph" w:styleId="1054" w:customStyle="1">
    <w:name w:val="Appendix text - Numbered"/>
    <w:basedOn w:val="1001"/>
    <w:uiPriority w:val="2"/>
    <w:semiHidden/>
    <w:qFormat/>
    <w:pPr>
      <w:numPr>
        <w:ilvl w:val="1"/>
        <w:numId w:val="5"/>
      </w:numPr>
      <w:pBdr/>
      <w:spacing w:after="360"/>
      <w:ind/>
    </w:pPr>
    <w:rPr>
      <w:rFonts w:eastAsia="Times New Roman" w:cs="Times New Roman"/>
      <w:sz w:val="20"/>
    </w:rPr>
  </w:style>
  <w:style w:type="character" w:styleId="1055">
    <w:name w:val="Book Title"/>
    <w:uiPriority w:val="33"/>
    <w:pPr>
      <w:pBdr/>
      <w:spacing/>
      <w:ind/>
    </w:pPr>
    <w:rPr>
      <w:rFonts w:ascii="Verdana" w:hAnsi="Verdana"/>
      <w:color w:val="ffffff" w:themeColor="background1"/>
      <w:sz w:val="40"/>
      <w:szCs w:val="40"/>
    </w:rPr>
  </w:style>
  <w:style w:type="paragraph" w:styleId="1056">
    <w:name w:val="Caption"/>
    <w:basedOn w:val="1001"/>
    <w:next w:val="1001"/>
    <w:uiPriority w:val="35"/>
    <w:qFormat/>
    <w:pPr>
      <w:pBdr/>
      <w:spacing w:after="0" w:before="240" w:line="360" w:lineRule="auto"/>
      <w:ind/>
    </w:pPr>
    <w:rPr>
      <w:b/>
      <w:bCs/>
      <w:iCs/>
      <w:color w:val="54616c"/>
      <w:szCs w:val="18"/>
    </w:rPr>
  </w:style>
  <w:style w:type="paragraph" w:styleId="1057" w:customStyle="1">
    <w:name w:val="Contents"/>
    <w:basedOn w:val="1001"/>
    <w:uiPriority w:val="1"/>
    <w:semiHidden/>
    <w:qFormat/>
    <w:pPr>
      <w:pBdr/>
      <w:spacing/>
      <w:ind/>
    </w:pPr>
    <w:rPr>
      <w:sz w:val="48"/>
      <w:szCs w:val="48"/>
    </w:rPr>
  </w:style>
  <w:style w:type="character" w:styleId="1058">
    <w:name w:val="FollowedHyperlink"/>
    <w:basedOn w:val="1011"/>
    <w:uiPriority w:val="99"/>
    <w:semiHidden/>
    <w:unhideWhenUsed/>
    <w:pPr>
      <w:pBdr/>
      <w:spacing/>
      <w:ind/>
    </w:pPr>
    <w:rPr>
      <w:color w:val="96607d" w:themeColor="followedHyperlink"/>
      <w:u w:val="single"/>
    </w:rPr>
  </w:style>
  <w:style w:type="table" w:styleId="1059">
    <w:name w:val="Grid Table 1 Light"/>
    <w:basedOn w:val="1012"/>
    <w:uiPriority w:val="46"/>
    <w:pPr>
      <w:pBdr/>
      <w:spacing w:after="0" w:line="240" w:lineRule="auto"/>
      <w:ind/>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3"/>
    <w:basedOn w:val="1012"/>
    <w:uiPriority w:val="48"/>
    <w:pPr>
      <w:pBdr/>
      <w:spacing w:after="0" w:line="240" w:lineRule="auto"/>
      <w:ind/>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666666" w:themeColor="text1" w:themeTint="99" w:sz="4" w:space="0"/>
        </w:tcBorders>
      </w:tcPr>
    </w:tblStylePr>
    <w:tblStylePr w:type="neCell">
      <w:pPr>
        <w:pBdr/>
        <w:spacing/>
        <w:ind/>
      </w:pPr>
      <w:tblPr>
        <w:tblBorders/>
      </w:tblPr>
      <w:tcPr>
        <w:tcBorders>
          <w:bottom w:val="single" w:color="666666" w:themeColor="text1" w:themeTint="99" w:sz="4" w:space="0"/>
        </w:tcBorders>
      </w:tcPr>
    </w:tblStylePr>
    <w:tblStylePr w:type="swCell">
      <w:pPr>
        <w:pBdr/>
        <w:spacing/>
        <w:ind/>
      </w:pPr>
      <w:tblPr>
        <w:tblBorders/>
      </w:tblPr>
      <w:tcPr>
        <w:tcBorders>
          <w:top w:val="single" w:color="666666" w:themeColor="text1" w:themeTint="99" w:sz="4" w:space="0"/>
        </w:tcBorders>
      </w:tcPr>
    </w:tblStylePr>
    <w:tblStylePr w:type="seCell">
      <w:pPr>
        <w:pBdr/>
        <w:spacing/>
        <w:ind/>
      </w:pPr>
      <w:tblPr>
        <w:tblBorders/>
      </w:tblPr>
      <w:tcPr>
        <w:tcBorders>
          <w:top w:val="single" w:color="666666" w:themeColor="text1" w:themeTint="99" w:sz="4" w:space="0"/>
        </w:tcBorders>
      </w:tcPr>
    </w:tblStylePr>
    <w:tblStylePr w:type="wholeTable">
      <w:pPr>
        <w:pBdr/>
        <w:spacing/>
        <w:ind/>
      </w:pPr>
      <w:tblPr>
        <w:tblBorders/>
      </w:tblPr>
      <w:tcPr>
        <w:tcBorders/>
      </w:tcPr>
    </w:tblStylePr>
  </w:style>
  <w:style w:type="table" w:styleId="1061">
    <w:name w:val="Grid Table 4 Accent 5"/>
    <w:basedOn w:val="1012"/>
    <w:uiPriority w:val="49"/>
    <w:pPr>
      <w:pBdr/>
      <w:spacing w:after="0" w:line="240" w:lineRule="auto"/>
      <w:ind/>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cPr>
      <w:tcBorders/>
    </w:tcPr>
    <w:tblStylePr w:type="band1Horz">
      <w:pPr>
        <w:pBdr/>
        <w:spacing/>
        <w:ind/>
      </w:pPr>
      <w:tblPr>
        <w:tblBorders/>
      </w:tblPr>
      <w:tcPr>
        <w:shd w:val="clear" w:color="auto" w:fill="f2ceed" w:themeFill="accent5" w:themeFillTint="33"/>
        <w:tcBorders/>
      </w:tcPr>
    </w:tblStylePr>
    <w:tblStylePr w:type="band1Vert">
      <w:pPr>
        <w:pBdr/>
        <w:spacing/>
        <w:ind/>
      </w:pPr>
      <w:tblPr>
        <w:tblBorders/>
      </w:tblPr>
      <w:tcPr>
        <w:shd w:val="clear" w:color="auto" w:fill="f2ceed"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Grid Table 5 Dark Accent 3"/>
    <w:basedOn w:val="1012"/>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Borders/>
    </w:tcPr>
    <w:tblStylePr w:type="band1Horz">
      <w:pPr>
        <w:pBdr/>
        <w:spacing/>
        <w:ind/>
      </w:pPr>
      <w:tblPr>
        <w:tblBorders/>
      </w:tblPr>
      <w:tcPr>
        <w:shd w:val="clear" w:color="auto" w:fill="84e290" w:themeFill="accent3" w:themeFillTint="66"/>
        <w:tcBorders/>
      </w:tcPr>
    </w:tblStylePr>
    <w:tblStylePr w:type="band1Vert">
      <w:pPr>
        <w:pBdr/>
        <w:spacing/>
        <w:ind/>
      </w:pPr>
      <w:tblPr>
        <w:tblBorders/>
      </w:tblPr>
      <w:tcPr>
        <w:shd w:val="clear" w:color="auto" w:fill="84e290"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196b24" w:themeFill="accent3"/>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196b24" w:themeFill="accent3"/>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196b24" w:themeFill="accent3"/>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196b24" w:themeFill="accent3"/>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3" w:customStyle="1">
    <w:name w:val="Heading 2 (numbered)"/>
    <w:basedOn w:val="1001"/>
    <w:next w:val="1001"/>
    <w:link w:val="1097"/>
    <w:uiPriority w:val="1"/>
    <w:qFormat/>
    <w:pPr>
      <w:keepNext w:val="true"/>
      <w:numPr>
        <w:numId w:val="8"/>
      </w:numPr>
      <w:pBdr/>
      <w:spacing w:after="60" w:before="360"/>
      <w:ind/>
      <w:outlineLvl w:val="1"/>
    </w:pPr>
    <w:rPr>
      <w:b/>
      <w:sz w:val="40"/>
      <w:szCs w:val="40"/>
    </w:rPr>
  </w:style>
  <w:style w:type="character" w:styleId="1064">
    <w:name w:val="Smart Hyperlink"/>
    <w:basedOn w:val="1011"/>
    <w:uiPriority w:val="99"/>
    <w:semiHidden/>
    <w:unhideWhenUsed/>
    <w:pPr>
      <w:pBdr/>
      <w:spacing/>
      <w:ind/>
    </w:pPr>
    <w:rPr>
      <w:u w:val="single"/>
    </w:rPr>
  </w:style>
  <w:style w:type="paragraph" w:styleId="1065" w:customStyle="1">
    <w:name w:val="Info box"/>
    <w:basedOn w:val="1001"/>
    <w:link w:val="1066"/>
    <w:uiPriority w:val="3"/>
    <w:qFormat/>
    <w:pPr>
      <w:pBdr>
        <w:top w:val="single" w:color="595959" w:sz="8" w:space="4"/>
        <w:bottom w:val="single" w:color="595959" w:sz="8" w:space="0"/>
        <w:between w:val="single" w:color="595959" w:sz="8" w:space="4"/>
      </w:pBdr>
      <w:spacing w:after="0"/>
      <w:ind w:hanging="2694" w:left="2694"/>
    </w:pPr>
    <w:rPr>
      <w:rFonts w:eastAsia="Calibri" w:cs="Times New Roman"/>
      <w:b/>
      <w:bCs/>
    </w:rPr>
  </w:style>
  <w:style w:type="character" w:styleId="1066" w:customStyle="1">
    <w:name w:val="Info box Char"/>
    <w:basedOn w:val="1011"/>
    <w:link w:val="1065"/>
    <w:uiPriority w:val="3"/>
    <w:pPr>
      <w:pBdr/>
      <w:spacing/>
      <w:ind/>
    </w:pPr>
    <w:rPr>
      <w:rFonts w:ascii="Aptos" w:hAnsi="Aptos" w:eastAsia="Calibri" w:cs="Times New Roman"/>
      <w:b/>
      <w:bCs/>
      <w:sz w:val="24"/>
      <w:szCs w:val="24"/>
    </w:rPr>
  </w:style>
  <w:style w:type="table" w:styleId="1067">
    <w:name w:val="List Table 3"/>
    <w:basedOn w:val="1012"/>
    <w:uiPriority w:val="48"/>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000000" w:themeFill="text1"/>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000000" w:themeColor="text1"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000000" w:themeColor="text1" w:sz="4" w:space="0"/>
          <w:right w:val="none" w:color="000000" w:sz="4" w:space="0"/>
        </w:tcBorders>
      </w:tcPr>
    </w:tblStylePr>
    <w:tblStylePr w:type="seCell">
      <w:pPr>
        <w:pBdr/>
        <w:spacing/>
        <w:ind/>
      </w:pPr>
      <w:tblPr>
        <w:tblBorders/>
      </w:tblPr>
      <w:tcPr>
        <w:tcBorders>
          <w:top w:val="single" w:color="000000" w:themeColor="text1" w:sz="4" w:space="0"/>
          <w:left w:val="none" w:color="000000" w:sz="4" w:space="0"/>
        </w:tcBorders>
      </w:tcPr>
    </w:tblStylePr>
    <w:tblStylePr w:type="wholeTable">
      <w:pPr>
        <w:pBdr/>
        <w:spacing/>
        <w:ind/>
      </w:pPr>
      <w:tblPr>
        <w:tblBorders/>
      </w:tblPr>
      <w:tcPr>
        <w:tcBorders/>
      </w:tcPr>
    </w:tblStylePr>
  </w:style>
  <w:style w:type="table" w:styleId="1068">
    <w:name w:val="List Table 6 Colorful Accent 3"/>
    <w:basedOn w:val="1012"/>
    <w:uiPriority w:val="51"/>
    <w:pPr>
      <w:pBdr/>
      <w:spacing w:after="0" w:line="240" w:lineRule="auto"/>
      <w:ind/>
    </w:pPr>
    <w:rPr>
      <w:color w:val="124f1a" w:themeColor="accent3" w:themeShade="BF"/>
    </w:rPr>
    <w:tblPr>
      <w:tblStyleRowBandSize w:val="1"/>
      <w:tblStyleColBandSize w:val="1"/>
      <w:tblBorders>
        <w:top w:val="single" w:color="196b24" w:themeColor="accent3" w:sz="4" w:space="0"/>
        <w:bottom w:val="single" w:color="196b24" w:themeColor="accent3" w:sz="4" w:space="0"/>
      </w:tblBorders>
    </w:tblPr>
    <w:tcPr>
      <w:tcBorders/>
    </w:tcPr>
    <w:tblStylePr w:type="band1Horz">
      <w:pPr>
        <w:pBdr/>
        <w:spacing/>
        <w:ind/>
      </w:pPr>
      <w:tblPr>
        <w:tblBorders/>
      </w:tblPr>
      <w:tcPr>
        <w:shd w:val="clear" w:color="auto" w:fill="c1f0c7" w:themeFill="accent3" w:themeFillTint="33"/>
        <w:tcBorders/>
      </w:tcPr>
    </w:tblStylePr>
    <w:tblStylePr w:type="band1Vert">
      <w:pPr>
        <w:pBdr/>
        <w:spacing/>
        <w:ind/>
      </w:pPr>
      <w:tblPr>
        <w:tblBorders/>
      </w:tblPr>
      <w:tcPr>
        <w:shd w:val="clear" w:color="auto" w:fill="c1f0c7"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196b24" w:themeColor="accent3"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196b24"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7 Colorful"/>
    <w:basedOn w:val="1012"/>
    <w:uiPriority w:val="52"/>
    <w:pPr>
      <w:pBdr/>
      <w:spacing w:after="0" w:line="240" w:lineRule="auto"/>
      <w:ind/>
    </w:pPr>
    <w:rPr>
      <w:color w:val="000000" w:themeColor="text1"/>
    </w:rPr>
    <w:tblPr>
      <w:tblStyleRowBandSize w:val="1"/>
      <w:tblStyleColBandSize w:val="1"/>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000000" w:themeColor="text1"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000000" w:themeColor="text1"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000000" w:themeColor="text1"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000000" w:themeColor="text1"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paragraph" w:styleId="1070">
    <w:name w:val="Normal (Web)"/>
    <w:basedOn w:val="1001"/>
    <w:uiPriority w:val="99"/>
    <w:unhideWhenUsed/>
    <w:pPr>
      <w:pBdr/>
      <w:spacing w:after="100" w:afterAutospacing="1" w:before="100" w:beforeAutospacing="1" w:line="240" w:lineRule="auto"/>
      <w:ind/>
    </w:pPr>
    <w:rPr>
      <w:rFonts w:cs="Aptos"/>
      <w:lang w:eastAsia="en-GB"/>
    </w:rPr>
  </w:style>
  <w:style w:type="paragraph" w:styleId="1071" w:customStyle="1">
    <w:name w:val="Numbered list"/>
    <w:basedOn w:val="1001"/>
    <w:link w:val="1072"/>
    <w:uiPriority w:val="1"/>
    <w:qFormat/>
    <w:pPr>
      <w:numPr>
        <w:numId w:val="9"/>
      </w:numPr>
      <w:pBdr/>
      <w:spacing/>
      <w:ind/>
      <w:contextualSpacing w:val="true"/>
    </w:pPr>
  </w:style>
  <w:style w:type="character" w:styleId="1072" w:customStyle="1">
    <w:name w:val="Numbered list Char"/>
    <w:basedOn w:val="1051"/>
    <w:link w:val="1071"/>
    <w:uiPriority w:val="1"/>
    <w:pPr>
      <w:pBdr/>
      <w:spacing/>
      <w:ind/>
    </w:pPr>
    <w:rPr>
      <w:rFonts w:ascii="Aptos" w:hAnsi="Aptos" w:cstheme="minorHAnsi"/>
      <w:sz w:val="24"/>
      <w:szCs w:val="24"/>
    </w:rPr>
  </w:style>
  <w:style w:type="table" w:styleId="1073" w:customStyle="1">
    <w:name w:val="Ofgem Table"/>
    <w:basedOn w:val="1012"/>
    <w:uiPriority w:val="9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Ofgem table"/>
    <w:basedOn w:val="1012"/>
    <w:next w:val="1075"/>
    <w:uiPriority w:val="42"/>
    <w:pPr>
      <w:pBdr/>
      <w:spacing w:after="0" w:before="120" w:line="240" w:lineRule="auto"/>
      <w:ind/>
    </w:pPr>
    <w:rPr>
      <w:rFonts w:ascii="Times New Roman" w:hAnsi="Times New Roman" w:eastAsia="Times New Roman" w:cs="Times New Roman"/>
      <w:sz w:val="20"/>
      <w:szCs w:val="20"/>
      <w:lang w:eastAsia="en-GB"/>
    </w:rPr>
    <w:tblPr>
      <w:tblStyleRowBandSize w:val="1"/>
      <w:tblStyleColBandSize w:val="1"/>
      <w:tblCellMar>
        <w:left w:w="0" w:type="dxa"/>
        <w:bottom w:w="57" w:type="dxa"/>
      </w:tblCellMar>
      <w:tblBorders>
        <w:bottom w:val="single" w:color="7f7f7f" w:sz="4" w:space="0"/>
      </w:tblBorders>
    </w:tblPr>
    <w:tcPr>
      <w:tcBorders/>
    </w:tcPr>
    <w:tblStylePr w:type="band1Horz">
      <w:pPr>
        <w:pBdr/>
        <w:spacing/>
        <w:ind/>
      </w:pPr>
      <w:tblPr>
        <w:tblBorders/>
      </w:tblPr>
      <w:tcPr>
        <w:tcBorders>
          <w:top w:val="single" w:color="7f7f7f" w:sz="4" w:space="0"/>
          <w:bottom w:val="single" w:color="7f7f7f" w:sz="4" w:space="0"/>
        </w:tcBorders>
      </w:tcPr>
    </w:tblStylePr>
    <w:tblStylePr w:type="band1Vert">
      <w:pPr>
        <w:pBdr/>
        <w:spacing/>
        <w:ind/>
      </w:pPr>
      <w:tblPr>
        <w:tblBorders/>
      </w:tblPr>
      <w:tcPr>
        <w:tcBorders>
          <w:left w:val="single" w:color="7f7f7f" w:sz="4" w:space="0"/>
          <w:right w:val="single" w:color="7f7f7f"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sz="4" w:space="0"/>
          <w:right w:val="single" w:color="7f7f7f" w:sz="4" w:space="0"/>
        </w:tcBorders>
      </w:tcPr>
    </w:tblStylePr>
    <w:tblStylePr w:type="firstCol">
      <w:rPr>
        <w:b w:val="0"/>
        <w:bCs/>
      </w:rPr>
      <w:pPr>
        <w:pBdr/>
        <w:spacing/>
        <w:ind/>
      </w:pPr>
      <w:tblPr>
        <w:tblBorders/>
      </w:tblPr>
      <w:tcPr>
        <w:tcBorders/>
      </w:tcPr>
    </w:tblStylePr>
    <w:tblStylePr w:type="firstRow">
      <w:rPr>
        <w:b/>
        <w:bCs/>
      </w:rPr>
      <w:pPr>
        <w:pBdr/>
        <w:spacing/>
        <w:ind/>
      </w:pPr>
      <w:tblPr>
        <w:tblBorders/>
      </w:tblPr>
      <w:trPr>
        <w:cantSplit/>
        <w:tblHeader/>
      </w:trPr>
      <w:tcPr>
        <w:tcBorders>
          <w:bottom w:val="single" w:color="7f7f7f" w:sz="4" w:space="0"/>
        </w:tcBorders>
      </w:tcPr>
    </w:tblStylePr>
    <w:tblStylePr w:type="lastCol">
      <w:rPr>
        <w:b w:val="0"/>
        <w:bCs/>
      </w:rPr>
      <w:pPr>
        <w:pBdr/>
        <w:spacing/>
        <w:ind/>
      </w:pPr>
      <w:tblPr>
        <w:tblBorders/>
      </w:tblPr>
      <w:tcPr>
        <w:tcBorders/>
      </w:tcPr>
    </w:tblStylePr>
    <w:tblStylePr w:type="lastRow">
      <w:rPr>
        <w:b w:val="0"/>
        <w:bCs/>
      </w:rPr>
      <w:pPr>
        <w:pBdr/>
        <w:spacing/>
        <w:ind/>
      </w:pPr>
      <w:tblPr>
        <w:tblBorders/>
      </w:tblPr>
      <w:tcPr>
        <w:tcBorders>
          <w:top w:val="single" w:color="7f7f7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Plain Table 2"/>
    <w:basedOn w:val="1012"/>
    <w:uiPriority w:val="42"/>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76" w:customStyle="1">
    <w:name w:val="Paragraph"/>
    <w:basedOn w:val="1001"/>
    <w:uiPriority w:val="1"/>
    <w:qFormat/>
    <w:pPr>
      <w:pBdr/>
      <w:spacing w:after="360" w:before="360"/>
      <w:ind/>
    </w:pPr>
    <w:rPr>
      <w:rFonts w:eastAsia="Times New Roman" w:cs="Times New Roman"/>
    </w:rPr>
  </w:style>
  <w:style w:type="character" w:styleId="1077">
    <w:name w:val="Placeholder Text"/>
    <w:basedOn w:val="1011"/>
    <w:uiPriority w:val="99"/>
    <w:semiHidden/>
    <w:pPr>
      <w:pBdr/>
      <w:spacing/>
      <w:ind/>
    </w:pPr>
    <w:rPr>
      <w:color w:val="666666"/>
    </w:rPr>
  </w:style>
  <w:style w:type="table" w:styleId="1078">
    <w:name w:val="Plain Table 1"/>
    <w:basedOn w:val="1012"/>
    <w:uiPriority w:val="41"/>
    <w:pPr>
      <w:pBdr/>
      <w:spacing w:after="0" w:line="240" w:lineRule="auto"/>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Plain Table 4"/>
    <w:basedOn w:val="1012"/>
    <w:uiPriority w:val="44"/>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Plain Table 41"/>
    <w:basedOn w:val="1073"/>
    <w:uiPriority w:val="44"/>
    <w:pPr>
      <w:pBdr/>
      <w:spacing/>
      <w:ind/>
    </w:pPr>
    <w:rPr>
      <w:rFonts w:ascii="Times New Roman" w:hAnsi="Times New Roman" w:eastAsia="Times New Roman" w:cs="Times New Roman"/>
      <w:sz w:val="20"/>
      <w:szCs w:val="20"/>
      <w:lang w:eastAsia="en-GB"/>
    </w:rPr>
    <w:tblPr>
      <w:tblStyleRowBandSize w:val="1"/>
      <w:tblStyleColBandSize w:val="1"/>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1" w:customStyle="1">
    <w:name w:val="Question Box"/>
    <w:basedOn w:val="1001"/>
    <w:link w:val="1082"/>
    <w:uiPriority w:val="1"/>
    <w:qFormat/>
    <w:pPr>
      <w:pBdr>
        <w:top w:val="single" w:color="000000" w:sz="8" w:space="1"/>
        <w:left w:val="single" w:color="000000" w:sz="8" w:space="4"/>
        <w:bottom w:val="single" w:color="000000" w:sz="8" w:space="1"/>
        <w:right w:val="single" w:color="000000" w:sz="8" w:space="4"/>
      </w:pBdr>
      <w:spacing/>
      <w:ind w:hanging="709" w:left="709"/>
    </w:pPr>
  </w:style>
  <w:style w:type="character" w:styleId="1082" w:customStyle="1">
    <w:name w:val="Question Box Char"/>
    <w:basedOn w:val="1011"/>
    <w:link w:val="1081"/>
    <w:uiPriority w:val="1"/>
    <w:pPr>
      <w:pBdr/>
      <w:spacing/>
      <w:ind/>
    </w:pPr>
    <w:rPr>
      <w:rFonts w:ascii="Aptos" w:hAnsi="Aptos" w:cstheme="minorHAnsi"/>
      <w:sz w:val="24"/>
      <w:szCs w:val="24"/>
    </w:rPr>
  </w:style>
  <w:style w:type="numbering" w:styleId="1083" w:customStyle="1">
    <w:name w:val="Section and para numbering"/>
    <w:basedOn w:val="1013"/>
    <w:uiPriority w:val="99"/>
    <w:pPr>
      <w:numPr>
        <w:numId w:val="10"/>
      </w:numPr>
      <w:pBdr/>
      <w:spacing/>
      <w:ind/>
    </w:pPr>
  </w:style>
  <w:style w:type="paragraph" w:styleId="1084" w:customStyle="1">
    <w:name w:val="Section summary"/>
    <w:basedOn w:val="1001"/>
    <w:link w:val="1085"/>
    <w:uiPriority w:val="1"/>
    <w:qFormat/>
    <w:pPr>
      <w:pBdr>
        <w:top w:val="single" w:color="ecf0f3" w:sz="48" w:space="0"/>
        <w:left w:val="single" w:color="ecf0f3" w:sz="48" w:space="0"/>
        <w:bottom w:val="single" w:color="ecf0f3" w:sz="48" w:space="0"/>
        <w:right w:val="single" w:color="ecf0f3" w:sz="48" w:space="0"/>
      </w:pBdr>
      <w:shd w:val="clear" w:color="auto" w:fill="ecf0f3"/>
      <w:spacing/>
      <w:ind/>
    </w:pPr>
  </w:style>
  <w:style w:type="character" w:styleId="1085" w:customStyle="1">
    <w:name w:val="Section summary Char"/>
    <w:basedOn w:val="1011"/>
    <w:link w:val="1084"/>
    <w:uiPriority w:val="1"/>
    <w:pPr>
      <w:pBdr/>
      <w:spacing/>
      <w:ind/>
    </w:pPr>
    <w:rPr>
      <w:rFonts w:ascii="Aptos" w:hAnsi="Aptos" w:cstheme="minorHAnsi"/>
      <w:sz w:val="24"/>
      <w:szCs w:val="24"/>
      <w:shd w:val="clear" w:color="auto" w:fill="ecf0f3"/>
    </w:rPr>
  </w:style>
  <w:style w:type="paragraph" w:styleId="1086" w:customStyle="1">
    <w:name w:val="Section title"/>
    <w:basedOn w:val="1002"/>
    <w:next w:val="1001"/>
    <w:uiPriority w:val="1"/>
    <w:semiHidden/>
    <w:pPr>
      <w:pageBreakBefore w:val="true"/>
      <w:numPr>
        <w:numId w:val="11"/>
      </w:numPr>
      <w:pBdr/>
      <w:tabs>
        <w:tab w:val="num" w:leader="none" w:pos="360"/>
        <w:tab w:val="left" w:leader="none" w:pos="2581"/>
      </w:tabs>
      <w:spacing w:after="200"/>
      <w:ind/>
    </w:pPr>
    <w:rPr>
      <w:rFonts w:eastAsia="Times New Roman" w:cs="Times New Roman"/>
      <w:color w:val="e26714"/>
    </w:rPr>
  </w:style>
  <w:style w:type="table" w:styleId="1087">
    <w:name w:val="Grid Table Light"/>
    <w:basedOn w:val="1012"/>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Table Grid1"/>
    <w:basedOn w:val="1012"/>
    <w:next w:val="1042"/>
    <w:uiPriority w:val="39"/>
    <w:pPr>
      <w:pBdr/>
      <w:spacing w:after="0" w:line="240" w:lineRule="auto"/>
      <w:ind/>
    </w:pPr>
    <w:rPr>
      <w:rFonts w:ascii="Calibri" w:hAnsi="Calibri" w:eastAsia="Calibri" w:cs="Times New Roman"/>
      <w:sz w:val="24"/>
      <w:szCs w:val="24"/>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rPr>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9">
    <w:name w:val="toc 1"/>
    <w:basedOn w:val="1001"/>
    <w:next w:val="1001"/>
    <w:uiPriority w:val="39"/>
    <w:unhideWhenUsed/>
    <w:pPr>
      <w:pBdr/>
      <w:tabs>
        <w:tab w:val="left" w:leader="none" w:pos="284"/>
        <w:tab w:val="right" w:leader="dot" w:pos="9607"/>
      </w:tabs>
      <w:spacing w:after="0"/>
      <w:ind/>
    </w:pPr>
    <w:rPr>
      <w:b/>
    </w:rPr>
  </w:style>
  <w:style w:type="paragraph" w:styleId="1090">
    <w:name w:val="toc 2"/>
    <w:basedOn w:val="1001"/>
    <w:next w:val="1001"/>
    <w:uiPriority w:val="39"/>
    <w:unhideWhenUsed/>
    <w:pPr>
      <w:pBdr/>
      <w:tabs>
        <w:tab w:val="left" w:leader="none" w:pos="284"/>
        <w:tab w:val="right" w:leader="dot" w:pos="9016"/>
      </w:tabs>
      <w:spacing w:after="0" w:before="60"/>
      <w:ind/>
    </w:pPr>
    <w:rPr>
      <w:b/>
      <w:bCs/>
    </w:rPr>
  </w:style>
  <w:style w:type="paragraph" w:styleId="1091">
    <w:name w:val="toc 3"/>
    <w:basedOn w:val="1001"/>
    <w:next w:val="1001"/>
    <w:uiPriority w:val="39"/>
    <w:unhideWhenUsed/>
    <w:pPr>
      <w:pBdr/>
      <w:tabs>
        <w:tab w:val="right" w:leader="dot" w:pos="9016"/>
      </w:tabs>
      <w:spacing w:after="60"/>
      <w:ind w:left="284"/>
      <w:contextualSpacing w:val="true"/>
    </w:pPr>
  </w:style>
  <w:style w:type="paragraph" w:styleId="1092">
    <w:name w:val="TOC Heading"/>
    <w:basedOn w:val="1002"/>
    <w:next w:val="1001"/>
    <w:uiPriority w:val="39"/>
    <w:unhideWhenUsed/>
    <w:qFormat/>
    <w:pPr>
      <w:keepNext w:val="true"/>
      <w:keepLines w:val="true"/>
      <w:pBdr/>
      <w:spacing w:before="240"/>
      <w:ind/>
      <w:outlineLvl w:val="9"/>
    </w:pPr>
    <w:rPr>
      <w:rFonts w:asciiTheme="majorHAnsi" w:hAnsiTheme="majorHAnsi" w:eastAsiaTheme="majorEastAsia"/>
      <w:b/>
      <w:bCs w:val="0"/>
      <w:color w:val="0f4761" w:themeColor="accent1" w:themeShade="BF"/>
      <w:sz w:val="32"/>
      <w:szCs w:val="32"/>
      <w:lang w:val="en-US"/>
    </w:rPr>
  </w:style>
  <w:style w:type="paragraph" w:styleId="1093" w:customStyle="1">
    <w:name w:val="Answer line"/>
    <w:basedOn w:val="1001"/>
    <w:uiPriority w:val="1"/>
    <w:qFormat/>
    <w:pPr>
      <w:pBdr>
        <w:bottom w:val="single" w:color="000000" w:sz="8" w:space="1"/>
      </w:pBdr>
      <w:spacing w:after="240" w:line="240" w:lineRule="auto"/>
      <w:ind/>
    </w:pPr>
    <w:rPr>
      <w:rFonts w:ascii="Calibri" w:hAnsi="Calibri" w:eastAsia="Times New Roman" w:cs="Calibri"/>
      <w:color w:val="000000"/>
      <w:sz w:val="28"/>
      <w:szCs w:val="28"/>
      <w:lang w:eastAsia="en-GB"/>
    </w:rPr>
  </w:style>
  <w:style w:type="paragraph" w:styleId="1094" w:customStyle="1">
    <w:name w:val="Answer box"/>
    <w:basedOn w:val="1039"/>
    <w:uiPriority w:val="1"/>
    <w:qFormat/>
    <w:pPr>
      <w:keepLines w:val="true"/>
      <w:pBdr>
        <w:top w:val="single" w:color="000000" w:sz="8" w:space="1"/>
        <w:left w:val="single" w:color="000000" w:sz="8" w:space="4"/>
        <w:bottom w:val="single" w:color="000000" w:sz="8" w:space="1"/>
        <w:right w:val="single" w:color="000000" w:sz="8" w:space="4"/>
      </w:pBdr>
      <w:spacing/>
      <w:ind/>
    </w:pPr>
    <w:rPr>
      <w:rFonts w:cs="Poppins"/>
    </w:rPr>
  </w:style>
  <w:style w:type="paragraph" w:styleId="1095">
    <w:name w:val="annotation subject"/>
    <w:basedOn w:val="1044"/>
    <w:next w:val="1044"/>
    <w:link w:val="1096"/>
    <w:uiPriority w:val="99"/>
    <w:semiHidden/>
    <w:unhideWhenUsed/>
    <w:pPr>
      <w:pBdr/>
      <w:spacing w:after="120" w:before="0"/>
      <w:ind/>
    </w:pPr>
    <w:rPr>
      <w:rFonts w:ascii="Aptos" w:hAnsi="Aptos"/>
      <w:b/>
      <w:bCs/>
    </w:rPr>
  </w:style>
  <w:style w:type="character" w:styleId="1096" w:customStyle="1">
    <w:name w:val="Comment Subject Char"/>
    <w:basedOn w:val="1045"/>
    <w:link w:val="1095"/>
    <w:uiPriority w:val="99"/>
    <w:semiHidden/>
    <w:pPr>
      <w:pBdr/>
      <w:spacing/>
      <w:ind/>
    </w:pPr>
    <w:rPr>
      <w:rFonts w:ascii="Aptos" w:hAnsi="Aptos" w:cstheme="minorHAnsi"/>
      <w:b/>
      <w:bCs/>
      <w:sz w:val="20"/>
      <w:szCs w:val="20"/>
    </w:rPr>
  </w:style>
  <w:style w:type="character" w:styleId="1097" w:customStyle="1">
    <w:name w:val="Heading 2 (numbered) Char"/>
    <w:basedOn w:val="1014"/>
    <w:link w:val="1063"/>
    <w:uiPriority w:val="1"/>
    <w:pPr>
      <w:pBdr/>
      <w:spacing/>
      <w:ind/>
    </w:pPr>
    <w:rPr>
      <w:rFonts w:ascii="Aptos" w:hAnsi="Aptos" w:eastAsia="Calibri" w:cstheme="minorHAnsi"/>
      <w:b/>
      <w:bCs w:val="0"/>
      <w:sz w:val="40"/>
      <w:szCs w:val="40"/>
      <w:shd w:val="clear" w:color="auto" w:fill="ffffff"/>
    </w:rPr>
  </w:style>
  <w:style w:type="paragraph" w:styleId="1098" w:customStyle="1">
    <w:name w:val="paragraph"/>
    <w:basedOn w:val="1001"/>
    <w:pPr>
      <w:pBdr/>
      <w:spacing w:after="100" w:afterAutospacing="1" w:before="100" w:beforeAutospacing="1" w:line="240" w:lineRule="auto"/>
      <w:ind/>
    </w:pPr>
    <w:rPr>
      <w:rFonts w:ascii="Times New Roman" w:hAnsi="Times New Roman" w:eastAsia="Times New Roman" w:cs="Times New Roman"/>
      <w:lang w:eastAsia="en-GB"/>
    </w:rPr>
  </w:style>
  <w:style w:type="character" w:styleId="1099" w:customStyle="1">
    <w:name w:val="normaltextrun"/>
    <w:basedOn w:val="1011"/>
    <w:pPr>
      <w:pBdr/>
      <w:spacing/>
      <w:ind/>
    </w:pPr>
  </w:style>
  <w:style w:type="character" w:styleId="1100" w:customStyle="1">
    <w:name w:val="eop"/>
    <w:basedOn w:val="1011"/>
    <w:pPr>
      <w:pBdr/>
      <w:spacing/>
      <w:ind/>
    </w:pPr>
  </w:style>
  <w:style w:type="character" w:styleId="1101">
    <w:name w:val="Mention"/>
    <w:basedOn w:val="1011"/>
    <w:uiPriority w:val="99"/>
    <w:unhideWhenUsed/>
    <w:pPr>
      <w:pBdr/>
      <w:spacing/>
      <w:ind/>
    </w:pPr>
    <w:rPr>
      <w:color w:val="2b579a"/>
      <w:shd w:val="clear" w:color="auto" w:fill="e1dfdd"/>
    </w:rPr>
  </w:style>
  <w:style w:type="paragraph" w:styleId="1102">
    <w:name w:val="Revision"/>
    <w:hidden/>
    <w:uiPriority w:val="99"/>
    <w:semiHidden/>
    <w:pPr>
      <w:pBdr/>
      <w:spacing w:after="0" w:line="240" w:lineRule="auto"/>
      <w:ind/>
    </w:pPr>
    <w:rPr>
      <w:rFonts w:ascii="Aptos" w:hAnsi="Aptos" w:cstheme="minorHAnsi"/>
      <w:sz w:val="24"/>
      <w:szCs w:val="24"/>
    </w:rPr>
  </w:style>
  <w:style w:type="character" w:styleId="1103">
    <w:name w:val="footnote reference"/>
    <w:basedOn w:val="1011"/>
    <w:uiPriority w:val="99"/>
    <w:semiHidden/>
    <w:unhideWhenUsed/>
    <w:pPr>
      <w:pBdr/>
      <w:spacing/>
      <w:ind/>
    </w:pPr>
    <w:rPr>
      <w:vertAlign w:val="superscript"/>
    </w:rPr>
  </w:style>
  <w:style w:type="paragraph" w:styleId="1104">
    <w:name w:val="footnote text"/>
    <w:basedOn w:val="1001"/>
    <w:link w:val="1105"/>
    <w:semiHidden/>
    <w:unhideWhenUsed/>
    <w:pPr>
      <w:pBdr/>
      <w:spacing w:after="0" w:line="240" w:lineRule="auto"/>
      <w:ind/>
    </w:pPr>
    <w:rPr>
      <w:rFonts w:ascii="Verdana" w:hAnsi="Verdana" w:cstheme="minorBidi"/>
      <w:sz w:val="20"/>
      <w:szCs w:val="20"/>
    </w:rPr>
  </w:style>
  <w:style w:type="character" w:styleId="1105" w:customStyle="1">
    <w:name w:val="Footnote Text Char"/>
    <w:basedOn w:val="1011"/>
    <w:link w:val="1104"/>
    <w:semiHidden/>
    <w:pPr>
      <w:pBdr/>
      <w:spacing/>
      <w:ind/>
    </w:pPr>
    <w:rPr>
      <w:rFonts w:ascii="Verdana" w:hAnsi="Verdana"/>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customXml" Target="../customXml/item1.xml" /><Relationship Id="rId17" Type="http://schemas.openxmlformats.org/officeDocument/2006/relationships/customXml" Target="../customXml/item2.xml" /><Relationship Id="rId18" Type="http://schemas.openxmlformats.org/officeDocument/2006/relationships/customXml" Target="../customXml/item3.xml" /><Relationship Id="rId19" Type="http://schemas.openxmlformats.org/officeDocument/2006/relationships/customXml" Target="../customXml/item4.xml" /><Relationship Id="rId20" Type="http://schemas.openxmlformats.org/officeDocument/2006/relationships/customXml" Target="../customXml/item5.xml" /><Relationship Id="rId21" Type="http://schemas.openxmlformats.org/officeDocument/2006/relationships/hyperlink" Target="mailto:connections@ofgem.gov.uk"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1A757B10A0BA420E8275E897F6B883AD"/>
        <w:category>
          <w:name w:val="General"/>
          <w:gallery w:val="placeholder"/>
        </w:category>
        <w:types>
          <w:type w:val="bbPlcHdr"/>
        </w:types>
        <w:behaviors>
          <w:behavior w:val="content"/>
        </w:behaviors>
        <w:guid w:val="{5BB47671-A895-47FC-A395-593F903FE471}"/>
      </w:docPartPr>
      <w:docPartBody>
        <w:p>
          <w:pPr>
            <w:pStyle w:val="1804"/>
            <w:pBdr/>
            <w:spacing/>
            <w:ind/>
            <w:rPr/>
          </w:pPr>
          <w:r>
            <w:rPr>
              <w:rStyle w:val="1802"/>
            </w:rPr>
            <w:t xml:space="preserve">Click or tap here to enter text.</w:t>
          </w:r>
          <w:r/>
        </w:p>
      </w:docPartBody>
    </w:docPart>
    <w:docPart>
      <w:docPartPr>
        <w:name w:val="7E833E5A21894EA9938089F85843E55C"/>
        <w:category>
          <w:name w:val="General"/>
          <w:gallery w:val="placeholder"/>
        </w:category>
        <w:types>
          <w:type w:val="bbPlcHdr"/>
        </w:types>
        <w:behaviors>
          <w:behavior w:val="content"/>
        </w:behaviors>
        <w:guid w:val="{EF90DFDE-1307-4567-A11A-EBE166D49026}"/>
      </w:docPartPr>
      <w:docPartBody>
        <w:p>
          <w:pPr>
            <w:pStyle w:val="1805"/>
            <w:pBdr/>
            <w:spacing/>
            <w:ind/>
            <w:rPr/>
          </w:pPr>
          <w:r>
            <w:rPr>
              <w:rStyle w:val="1802"/>
            </w:rPr>
            <w:t xml:space="preserve">Click or tap here to enter text.</w:t>
          </w:r>
          <w:r/>
        </w:p>
      </w:docPartBody>
    </w:docPart>
    <w:docPart>
      <w:docPartPr>
        <w:name w:val="BD2BE12BFA4642C68040558806FD3C31"/>
        <w:category>
          <w:name w:val="General"/>
          <w:gallery w:val="placeholder"/>
        </w:category>
        <w:types>
          <w:type w:val="bbPlcHdr"/>
        </w:types>
        <w:behaviors>
          <w:behavior w:val="content"/>
        </w:behaviors>
        <w:guid w:val="{B9F770A7-86C5-4C6B-9E6D-885983973440}"/>
      </w:docPartPr>
      <w:docPartBody>
        <w:p>
          <w:pPr>
            <w:pStyle w:val="1806"/>
            <w:pBdr/>
            <w:spacing/>
            <w:ind/>
            <w:rPr/>
          </w:pPr>
          <w:r>
            <w:rPr>
              <w:rStyle w:val="1802"/>
            </w:rPr>
            <w:t xml:space="preserve">Click or tap here to enter text.</w:t>
          </w:r>
          <w:r/>
        </w:p>
      </w:docPartBody>
    </w:docPart>
    <w:docPart>
      <w:docPartPr>
        <w:name w:val="C66E68E57DEB44AEB67B03F37F44EACC"/>
        <w:category>
          <w:name w:val="General"/>
          <w:gallery w:val="placeholder"/>
        </w:category>
        <w:types>
          <w:type w:val="bbPlcHdr"/>
        </w:types>
        <w:behaviors>
          <w:behavior w:val="content"/>
        </w:behaviors>
        <w:guid w:val="{9AF299D2-6B98-4429-BE3B-5892E5C9E6B4}"/>
      </w:docPartPr>
      <w:docPartBody>
        <w:p>
          <w:pPr>
            <w:pStyle w:val="1807"/>
            <w:pBdr/>
            <w:spacing/>
            <w:ind/>
            <w:rPr/>
          </w:pPr>
          <w:r>
            <w:rPr>
              <w:rStyle w:val="1802"/>
            </w:rPr>
            <w:t xml:space="preserve">Click or tap here to enter text.</w:t>
          </w:r>
          <w:r/>
        </w:p>
      </w:docPartBody>
    </w:docPart>
    <w:docPart>
      <w:docPartPr>
        <w:name w:val="22CC5648D2384C17A4C12D0FD38893E9"/>
        <w:category>
          <w:name w:val="General"/>
          <w:gallery w:val="placeholder"/>
        </w:category>
        <w:types>
          <w:type w:val="bbPlcHdr"/>
        </w:types>
        <w:behaviors>
          <w:behavior w:val="content"/>
        </w:behaviors>
        <w:guid w:val="{AD189AA6-0490-4285-8F8E-99B707AA0FC3}"/>
      </w:docPartPr>
      <w:docPartBody>
        <w:p>
          <w:pPr>
            <w:pStyle w:val="1819"/>
            <w:pBdr/>
            <w:spacing/>
            <w:ind/>
            <w:rPr/>
          </w:pPr>
          <w:r>
            <w:rPr>
              <w:rStyle w:val="1802"/>
            </w:rPr>
            <w:t xml:space="preserve">Click or tap here to enter text.</w:t>
          </w:r>
          <w:r/>
        </w:p>
      </w:docPartBody>
    </w:docPart>
    <w:docPart>
      <w:docPartPr>
        <w:name w:val="78E291BC923E40EC9E0B35564FB0117A"/>
        <w:category>
          <w:name w:val="General"/>
          <w:gallery w:val="placeholder"/>
        </w:category>
        <w:types>
          <w:type w:val="bbPlcHdr"/>
        </w:types>
        <w:behaviors>
          <w:behavior w:val="content"/>
        </w:behaviors>
        <w:guid w:val="{869A96D3-544F-4F1D-9832-30C54087D6FE}"/>
      </w:docPartPr>
      <w:docPartBody>
        <w:p>
          <w:pPr>
            <w:pStyle w:val="1820"/>
            <w:pBdr/>
            <w:spacing/>
            <w:ind/>
            <w:rPr/>
          </w:pPr>
          <w:r>
            <w:rPr>
              <w:rStyle w:val="1802"/>
            </w:rPr>
            <w:t xml:space="preserve">Click or tap here to enter text.</w:t>
          </w:r>
          <w:r/>
        </w:p>
      </w:docPartBody>
    </w:docPart>
    <w:docPart>
      <w:docPartPr>
        <w:name w:val="AAAD345CCFBB46A7B3145431099B4FAE"/>
        <w:category>
          <w:name w:val="General"/>
          <w:gallery w:val="placeholder"/>
        </w:category>
        <w:types>
          <w:type w:val="bbPlcHdr"/>
        </w:types>
        <w:behaviors>
          <w:behavior w:val="content"/>
        </w:behaviors>
        <w:guid w:val="{A79E119D-5232-4CD7-A7FE-69F1EDC383FE}"/>
      </w:docPartPr>
      <w:docPartBody>
        <w:p>
          <w:pPr>
            <w:pStyle w:val="1822"/>
            <w:pBdr/>
            <w:spacing/>
            <w:ind/>
            <w:rPr/>
          </w:pPr>
          <w:r>
            <w:rPr>
              <w:rStyle w:val="1802"/>
            </w:rPr>
            <w:t xml:space="preserve">Click or tap here to enter text.</w:t>
          </w:r>
          <w:r/>
        </w:p>
      </w:docPartBody>
    </w:docPart>
    <w:docPart>
      <w:docPartPr>
        <w:name w:val="F28D4C5395084C118724A2A2631BFEB0"/>
        <w:category>
          <w:name w:val="General"/>
          <w:gallery w:val="placeholder"/>
        </w:category>
        <w:types>
          <w:type w:val="bbPlcHdr"/>
        </w:types>
        <w:behaviors>
          <w:behavior w:val="content"/>
        </w:behaviors>
        <w:guid w:val="{AE9C258B-8540-4599-ACDD-674CC301690B}"/>
      </w:docPartPr>
      <w:docPartBody>
        <w:p>
          <w:pPr>
            <w:pStyle w:val="1824"/>
            <w:pBdr/>
            <w:spacing/>
            <w:ind/>
            <w:rPr/>
          </w:pPr>
          <w:r>
            <w:rPr>
              <w:rStyle w:val="1802"/>
            </w:rPr>
            <w:t xml:space="preserve">Click or tap here to enter text.</w:t>
          </w:r>
          <w:r/>
        </w:p>
      </w:docPartBody>
    </w:docPart>
    <w:docPart>
      <w:docPartPr>
        <w:name w:val="5B556A9DCD014349A0507BC69EF994A9"/>
        <w:category>
          <w:name w:val="General"/>
          <w:gallery w:val="placeholder"/>
        </w:category>
        <w:types>
          <w:type w:val="bbPlcHdr"/>
        </w:types>
        <w:behaviors>
          <w:behavior w:val="content"/>
        </w:behaviors>
        <w:guid w:val="{0A57B3EB-D5E9-4791-B32E-2B06F40969D8}"/>
      </w:docPartPr>
      <w:docPartBody>
        <w:p>
          <w:pPr>
            <w:pStyle w:val="1825"/>
            <w:pBdr/>
            <w:spacing/>
            <w:ind/>
            <w:rPr/>
          </w:pPr>
          <w:r>
            <w:rPr>
              <w:rStyle w:val="1802"/>
            </w:rPr>
            <w:t xml:space="preserve">Click or tap here to enter text.</w:t>
          </w:r>
          <w:r/>
        </w:p>
      </w:docPartBody>
    </w:docPart>
    <w:docPart>
      <w:docPartPr>
        <w:name w:val="3D65D348C52B404992EC4421CBAE518E"/>
        <w:category>
          <w:name w:val="General"/>
          <w:gallery w:val="placeholder"/>
        </w:category>
        <w:types>
          <w:type w:val="bbPlcHdr"/>
        </w:types>
        <w:behaviors>
          <w:behavior w:val="content"/>
        </w:behaviors>
        <w:guid w:val="{9687C78D-2599-43CD-BE4E-5ABBCE727558}"/>
      </w:docPartPr>
      <w:docPartBody>
        <w:p>
          <w:pPr>
            <w:pStyle w:val="1826"/>
            <w:pBdr/>
            <w:spacing/>
            <w:ind/>
            <w:rPr/>
          </w:pPr>
          <w:r>
            <w:rPr>
              <w:rStyle w:val="1802"/>
            </w:rPr>
            <w:t xml:space="preserve">Click or tap here to enter text.</w:t>
          </w:r>
          <w:r/>
        </w:p>
      </w:docPartBody>
    </w:docPart>
    <w:docPart>
      <w:docPartPr>
        <w:name w:val="1EAE9558392E49E6B8C52B6393B7FB2E"/>
        <w:category>
          <w:name w:val="General"/>
          <w:gallery w:val="placeholder"/>
        </w:category>
        <w:types>
          <w:type w:val="bbPlcHdr"/>
        </w:types>
        <w:behaviors>
          <w:behavior w:val="content"/>
        </w:behaviors>
        <w:guid w:val="{6E205840-39CB-4FD0-A45C-374219542AC3}"/>
      </w:docPartPr>
      <w:docPartBody>
        <w:p>
          <w:pPr>
            <w:pStyle w:val="1827"/>
            <w:pBdr/>
            <w:spacing/>
            <w:ind/>
            <w:rPr/>
          </w:pPr>
          <w:r>
            <w:rPr>
              <w:rStyle w:val="1802"/>
            </w:rPr>
            <w:t xml:space="preserve">Click or tap here to enter text.</w:t>
          </w:r>
          <w:r/>
        </w:p>
      </w:docPartBody>
    </w:docPart>
    <w:docPart>
      <w:docPartPr>
        <w:name w:val="04520A1EED814C5EA6B82EA609CA3AAF"/>
        <w:category>
          <w:name w:val="General"/>
          <w:gallery w:val="placeholder"/>
        </w:category>
        <w:types>
          <w:type w:val="bbPlcHdr"/>
        </w:types>
        <w:behaviors>
          <w:behavior w:val="content"/>
        </w:behaviors>
        <w:guid w:val="{99AC822C-456A-4310-B086-A00B6DF865C0}"/>
      </w:docPartPr>
      <w:docPartBody>
        <w:p>
          <w:pPr>
            <w:pStyle w:val="1828"/>
            <w:pBdr/>
            <w:spacing/>
            <w:ind/>
            <w:rPr/>
          </w:pPr>
          <w:r>
            <w:rPr>
              <w:rStyle w:val="1802"/>
            </w:rPr>
            <w:t xml:space="preserve">Click or tap here to enter text.</w:t>
          </w:r>
          <w:r/>
        </w:p>
      </w:docPartBody>
    </w:docPart>
    <w:docPart>
      <w:docPartPr>
        <w:name w:val="B8E3646A8B6146C0A35F1C781AC6820B"/>
        <w:category>
          <w:name w:val="General"/>
          <w:gallery w:val="placeholder"/>
        </w:category>
        <w:types>
          <w:type w:val="bbPlcHdr"/>
        </w:types>
        <w:behaviors>
          <w:behavior w:val="content"/>
        </w:behaviors>
        <w:guid w:val="{8410956A-CB04-4947-8DA2-4F12BA92A61F}"/>
      </w:docPartPr>
      <w:docPartBody>
        <w:p>
          <w:pPr>
            <w:pStyle w:val="1808"/>
            <w:pBdr/>
            <w:spacing/>
            <w:ind/>
            <w:rPr/>
          </w:pPr>
          <w:r>
            <w:rPr>
              <w:rStyle w:val="1802"/>
            </w:rPr>
            <w:t xml:space="preserve">Click or tap here to enter text.</w:t>
          </w:r>
          <w:r/>
        </w:p>
      </w:docPartBody>
    </w:docPart>
    <w:docPart>
      <w:docPartPr>
        <w:name w:val="87C2003CC4A740B8A145FCD5694C2B96"/>
        <w:category>
          <w:name w:val="General"/>
          <w:gallery w:val="placeholder"/>
        </w:category>
        <w:types>
          <w:type w:val="bbPlcHdr"/>
        </w:types>
        <w:behaviors>
          <w:behavior w:val="content"/>
        </w:behaviors>
        <w:guid w:val="{21E54524-177F-40D3-8188-61C3445748BE}"/>
      </w:docPartPr>
      <w:docPartBody>
        <w:p>
          <w:pPr>
            <w:pStyle w:val="1809"/>
            <w:pBdr/>
            <w:spacing/>
            <w:ind/>
            <w:rPr/>
          </w:pPr>
          <w:r>
            <w:rPr>
              <w:rStyle w:val="1802"/>
            </w:rPr>
            <w:t xml:space="preserve">Click or tap here to enter text.</w:t>
          </w:r>
          <w:r/>
        </w:p>
      </w:docPartBody>
    </w:docPart>
    <w:docPart>
      <w:docPartPr>
        <w:name w:val="2E2BCE48AEAD4A489D0DC423786EEF83"/>
        <w:category>
          <w:name w:val="General"/>
          <w:gallery w:val="placeholder"/>
        </w:category>
        <w:types>
          <w:type w:val="bbPlcHdr"/>
        </w:types>
        <w:behaviors>
          <w:behavior w:val="content"/>
        </w:behaviors>
        <w:guid w:val="{D53A134B-65AC-4C16-8987-CDFAD4050816}"/>
      </w:docPartPr>
      <w:docPartBody>
        <w:p>
          <w:pPr>
            <w:pStyle w:val="1810"/>
            <w:pBdr/>
            <w:spacing/>
            <w:ind/>
            <w:rPr/>
          </w:pPr>
          <w:r>
            <w:rPr>
              <w:rStyle w:val="1802"/>
            </w:rPr>
            <w:t xml:space="preserve">Click or tap here to enter text.</w:t>
          </w:r>
          <w:r/>
        </w:p>
      </w:docPartBody>
    </w:docPart>
    <w:docPart>
      <w:docPartPr>
        <w:name w:val="911F1505E34742C09C56AA4C2980C152"/>
        <w:category>
          <w:name w:val="General"/>
          <w:gallery w:val="placeholder"/>
        </w:category>
        <w:types>
          <w:type w:val="bbPlcHdr"/>
        </w:types>
        <w:behaviors>
          <w:behavior w:val="content"/>
        </w:behaviors>
        <w:guid w:val="{F34126CF-128B-423F-9B34-077EB853414F}"/>
      </w:docPartPr>
      <w:docPartBody>
        <w:p>
          <w:pPr>
            <w:pStyle w:val="1830"/>
            <w:pBdr/>
            <w:spacing/>
            <w:ind/>
            <w:rPr/>
          </w:pPr>
          <w:r>
            <w:rPr>
              <w:rStyle w:val="1802"/>
            </w:rPr>
            <w:t xml:space="preserve">Click or tap here to enter text.</w:t>
          </w:r>
          <w:r/>
        </w:p>
      </w:docPartBody>
    </w:docPart>
    <w:docPart>
      <w:docPartPr>
        <w:name w:val="C2FDBB35107C4233AFEAE1970E46E06C"/>
        <w:category>
          <w:name w:val="General"/>
          <w:gallery w:val="placeholder"/>
        </w:category>
        <w:types>
          <w:type w:val="bbPlcHdr"/>
        </w:types>
        <w:behaviors>
          <w:behavior w:val="content"/>
        </w:behaviors>
        <w:guid w:val="{62F31EE0-398A-4BD8-86BE-9B9E062CB470}"/>
      </w:docPartPr>
      <w:docPartBody>
        <w:p>
          <w:pPr>
            <w:pStyle w:val="1831"/>
            <w:pBdr/>
            <w:spacing/>
            <w:ind/>
            <w:rPr/>
          </w:pPr>
          <w:r>
            <w:rPr>
              <w:rStyle w:val="1802"/>
            </w:rPr>
            <w:t xml:space="preserve">Click or tap here to enter text.</w:t>
          </w:r>
          <w:r/>
        </w:p>
      </w:docPartBody>
    </w:docPart>
    <w:docPart>
      <w:docPartPr>
        <w:name w:val="4CE5E270F87F40029D3234977968962E"/>
        <w:category>
          <w:name w:val="General"/>
          <w:gallery w:val="placeholder"/>
        </w:category>
        <w:types>
          <w:type w:val="bbPlcHdr"/>
        </w:types>
        <w:behaviors>
          <w:behavior w:val="content"/>
        </w:behaviors>
        <w:guid w:val="{BD296217-58C0-4C26-BB42-3E2425A0C116}"/>
      </w:docPartPr>
      <w:docPartBody>
        <w:p>
          <w:pPr>
            <w:pStyle w:val="1832"/>
            <w:pBdr/>
            <w:spacing/>
            <w:ind/>
            <w:rPr/>
          </w:pPr>
          <w:r>
            <w:rPr>
              <w:rStyle w:val="1802"/>
            </w:rPr>
            <w:t xml:space="preserve">Click or tap here to enter text.</w:t>
          </w:r>
          <w:r/>
        </w:p>
      </w:docPartBody>
    </w:docPart>
    <w:docPart>
      <w:docPartPr>
        <w:name w:val="4088D5BF6AEE424D8CF7022E6D1103E9"/>
        <w:category>
          <w:name w:val="General"/>
          <w:gallery w:val="placeholder"/>
        </w:category>
        <w:types>
          <w:type w:val="bbPlcHdr"/>
        </w:types>
        <w:behaviors>
          <w:behavior w:val="content"/>
        </w:behaviors>
        <w:guid w:val="{3D22F4F5-029F-4C16-8F47-E5BC8EE0180E}"/>
      </w:docPartPr>
      <w:docPartBody>
        <w:p>
          <w:pPr>
            <w:pStyle w:val="1833"/>
            <w:pBdr/>
            <w:spacing/>
            <w:ind/>
            <w:rPr/>
          </w:pPr>
          <w:r>
            <w:rPr>
              <w:rStyle w:val="1802"/>
            </w:rPr>
            <w:t xml:space="preserve">Click or tap here to enter text.</w:t>
          </w:r>
          <w:r/>
        </w:p>
      </w:docPartBody>
    </w:docPart>
    <w:docPart>
      <w:docPartPr>
        <w:name w:val="B038DAFD79F044918636F6F40C115858"/>
        <w:category>
          <w:name w:val="General"/>
          <w:gallery w:val="placeholder"/>
        </w:category>
        <w:types>
          <w:type w:val="bbPlcHdr"/>
        </w:types>
        <w:behaviors>
          <w:behavior w:val="content"/>
        </w:behaviors>
        <w:guid w:val="{516D164C-20CD-40FA-B84F-12B725C8AE7E}"/>
      </w:docPartPr>
      <w:docPartBody>
        <w:p>
          <w:pPr>
            <w:pStyle w:val="1835"/>
            <w:pBdr/>
            <w:spacing/>
            <w:ind/>
            <w:rPr/>
          </w:pPr>
          <w:r>
            <w:rPr>
              <w:rStyle w:val="1802"/>
            </w:rPr>
            <w:t xml:space="preserve">Click or tap here to enter text.</w:t>
          </w:r>
          <w:r/>
        </w:p>
      </w:docPartBody>
    </w:docPart>
    <w:docPart>
      <w:docPartPr>
        <w:name w:val="B726F69FA8A54899BE0C969A660DCFB4"/>
        <w:category>
          <w:name w:val="General"/>
          <w:gallery w:val="placeholder"/>
        </w:category>
        <w:types>
          <w:type w:val="bbPlcHdr"/>
        </w:types>
        <w:behaviors>
          <w:behavior w:val="content"/>
        </w:behaviors>
        <w:guid w:val="{79FDD092-6C3A-4D5A-B70B-90F3E0FF2A5B}"/>
      </w:docPartPr>
      <w:docPartBody>
        <w:p>
          <w:pPr>
            <w:pStyle w:val="1837"/>
            <w:pBdr/>
            <w:spacing/>
            <w:ind/>
            <w:rPr/>
          </w:pPr>
          <w:r>
            <w:rPr>
              <w:rStyle w:val="1802"/>
            </w:rPr>
            <w:t xml:space="preserve">Click or tap here to enter text.</w:t>
          </w:r>
          <w:r/>
        </w:p>
      </w:docPartBody>
    </w:docPart>
    <w:docPart>
      <w:docPartPr>
        <w:name w:val="EE5F5C6DB39B4CC9B1429848B27DC027"/>
        <w:category>
          <w:name w:val="General"/>
          <w:gallery w:val="placeholder"/>
        </w:category>
        <w:types>
          <w:type w:val="bbPlcHdr"/>
        </w:types>
        <w:behaviors>
          <w:behavior w:val="content"/>
        </w:behaviors>
        <w:guid w:val="{E71DED6B-F8C6-4D52-8B2D-C6777667D65E}"/>
      </w:docPartPr>
      <w:docPartBody>
        <w:p>
          <w:pPr>
            <w:pStyle w:val="1838"/>
            <w:pBdr/>
            <w:spacing/>
            <w:ind/>
            <w:rPr/>
          </w:pPr>
          <w:r>
            <w:rPr>
              <w:rStyle w:val="1802"/>
            </w:rPr>
            <w:t xml:space="preserve">Click or tap here to enter text.</w:t>
          </w:r>
          <w:r/>
        </w:p>
      </w:docPartBody>
    </w:docPart>
    <w:docPart>
      <w:docPartPr>
        <w:name w:val="B67A54FA63344622B4DDAC8CB4BBDC94"/>
        <w:category>
          <w:name w:val="General"/>
          <w:gallery w:val="placeholder"/>
        </w:category>
        <w:types>
          <w:type w:val="bbPlcHdr"/>
        </w:types>
        <w:behaviors>
          <w:behavior w:val="content"/>
        </w:behaviors>
        <w:guid w:val="{581BECDD-9ABC-48D3-BB08-54DC22D7F7AC}"/>
      </w:docPartPr>
      <w:docPartBody>
        <w:p>
          <w:pPr>
            <w:pStyle w:val="1811"/>
            <w:pBdr/>
            <w:spacing/>
            <w:ind/>
            <w:rPr/>
          </w:pPr>
          <w:r>
            <w:rPr>
              <w:rStyle w:val="1802"/>
            </w:rPr>
            <w:t xml:space="preserve">Click or tap here to enter text.</w:t>
          </w:r>
          <w:r/>
        </w:p>
      </w:docPartBody>
    </w:docPart>
    <w:docPart>
      <w:docPartPr>
        <w:name w:val="1ED6D567324943A0B55B105CF2247641"/>
        <w:category>
          <w:name w:val="General"/>
          <w:gallery w:val="placeholder"/>
        </w:category>
        <w:types>
          <w:type w:val="bbPlcHdr"/>
        </w:types>
        <w:behaviors>
          <w:behavior w:val="content"/>
        </w:behaviors>
        <w:guid w:val="{23FC76E9-DEC0-4566-95AC-B1080EBC8FA2}"/>
      </w:docPartPr>
      <w:docPartBody>
        <w:p>
          <w:pPr>
            <w:pStyle w:val="1812"/>
            <w:pBdr/>
            <w:spacing/>
            <w:ind/>
            <w:rPr/>
          </w:pPr>
          <w:r>
            <w:rPr>
              <w:rStyle w:val="1802"/>
            </w:rPr>
            <w:t xml:space="preserve">Click or tap here to enter text.</w:t>
          </w:r>
          <w:r/>
        </w:p>
      </w:docPartBody>
    </w:docPart>
    <w:docPart>
      <w:docPartPr>
        <w:name w:val="5C0D9AFF47F04E0D84B52C716A2A2229"/>
        <w:category>
          <w:name w:val="General"/>
          <w:gallery w:val="placeholder"/>
        </w:category>
        <w:types>
          <w:type w:val="bbPlcHdr"/>
        </w:types>
        <w:behaviors>
          <w:behavior w:val="content"/>
        </w:behaviors>
        <w:guid w:val="{CD690682-433B-4FFC-A1D7-31357B7C1F83}"/>
      </w:docPartPr>
      <w:docPartBody>
        <w:p>
          <w:pPr>
            <w:pStyle w:val="1839"/>
            <w:pBdr/>
            <w:spacing/>
            <w:ind/>
            <w:rPr/>
          </w:pPr>
          <w:r>
            <w:rPr>
              <w:rStyle w:val="1802"/>
            </w:rPr>
            <w:t xml:space="preserve">Click or tap here to enter text.</w:t>
          </w:r>
          <w:r/>
        </w:p>
      </w:docPartBody>
    </w:docPart>
    <w:docPart>
      <w:docPartPr>
        <w:name w:val="B8A7DB7C4898409CB74AAD598A58CCB7"/>
        <w:category>
          <w:name w:val="General"/>
          <w:gallery w:val="placeholder"/>
        </w:category>
        <w:types>
          <w:type w:val="bbPlcHdr"/>
        </w:types>
        <w:behaviors>
          <w:behavior w:val="content"/>
        </w:behaviors>
        <w:guid w:val="{BB5D3BF7-2BFA-4221-8ADD-A4B966CD681E}"/>
      </w:docPartPr>
      <w:docPartBody>
        <w:p>
          <w:pPr>
            <w:pStyle w:val="1840"/>
            <w:pBdr/>
            <w:spacing/>
            <w:ind/>
            <w:rPr/>
          </w:pPr>
          <w:r>
            <w:rPr>
              <w:rStyle w:val="1802"/>
            </w:rPr>
            <w:t xml:space="preserve">Click or tap here to enter text.</w:t>
          </w:r>
          <w:r/>
        </w:p>
      </w:docPartBody>
    </w:docPart>
    <w:docPart>
      <w:docPartPr>
        <w:name w:val="63ABF6DE21254B968D595FDACDB3DB3E"/>
        <w:category>
          <w:name w:val="General"/>
          <w:gallery w:val="placeholder"/>
        </w:category>
        <w:types>
          <w:type w:val="bbPlcHdr"/>
        </w:types>
        <w:behaviors>
          <w:behavior w:val="content"/>
        </w:behaviors>
        <w:guid w:val="{D813D207-2A18-4DA9-A9F9-DB7ACF3E2F4D}"/>
      </w:docPartPr>
      <w:docPartBody>
        <w:p>
          <w:pPr>
            <w:pStyle w:val="1841"/>
            <w:pBdr/>
            <w:spacing/>
            <w:ind/>
            <w:rPr/>
          </w:pPr>
          <w:r>
            <w:rPr>
              <w:rStyle w:val="1802"/>
            </w:rPr>
            <w:t xml:space="preserve">Click or tap here to enter text.</w:t>
          </w:r>
          <w:r/>
        </w:p>
      </w:docPartBody>
    </w:docPart>
    <w:docPart>
      <w:docPartPr>
        <w:name w:val="CD470AD81ACE4C8E953763B85555BA1F"/>
        <w:category>
          <w:name w:val="General"/>
          <w:gallery w:val="placeholder"/>
        </w:category>
        <w:types>
          <w:type w:val="bbPlcHdr"/>
        </w:types>
        <w:behaviors>
          <w:behavior w:val="content"/>
        </w:behaviors>
        <w:guid w:val="{1830B866-2A84-4538-A376-DE70CAB25D86}"/>
      </w:docPartPr>
      <w:docPartBody>
        <w:p>
          <w:pPr>
            <w:pStyle w:val="1842"/>
            <w:pBdr/>
            <w:spacing/>
            <w:ind/>
            <w:rPr/>
          </w:pPr>
          <w:r>
            <w:rPr>
              <w:rStyle w:val="1802"/>
            </w:rPr>
            <w:t xml:space="preserve">Click or tap here to enter text.</w:t>
          </w:r>
          <w:r/>
        </w:p>
      </w:docPartBody>
    </w:docPart>
    <w:docPart>
      <w:docPartPr>
        <w:name w:val="2DF91A2EB6DD4AB5BDD868B927172522"/>
        <w:category>
          <w:name w:val="General"/>
          <w:gallery w:val="placeholder"/>
        </w:category>
        <w:types>
          <w:type w:val="bbPlcHdr"/>
        </w:types>
        <w:behaviors>
          <w:behavior w:val="content"/>
        </w:behaviors>
        <w:guid w:val="{8B49F465-1751-4546-9493-0DDF9565E6B0}"/>
      </w:docPartPr>
      <w:docPartBody>
        <w:p>
          <w:pPr>
            <w:pStyle w:val="1843"/>
            <w:pBdr/>
            <w:spacing/>
            <w:ind/>
            <w:rPr/>
          </w:pPr>
          <w:r>
            <w:rPr>
              <w:rStyle w:val="1802"/>
            </w:rPr>
            <w:t xml:space="preserve">Click or tap here to enter text.</w:t>
          </w:r>
          <w:r/>
        </w:p>
      </w:docPartBody>
    </w:docPart>
    <w:docPart>
      <w:docPartPr>
        <w:name w:val="542082566A274D728975A36EC5716BF8"/>
        <w:category>
          <w:name w:val="General"/>
          <w:gallery w:val="placeholder"/>
        </w:category>
        <w:types>
          <w:type w:val="bbPlcHdr"/>
        </w:types>
        <w:behaviors>
          <w:behavior w:val="content"/>
        </w:behaviors>
        <w:guid w:val="{7A786E9B-3BAE-4D4D-A677-CFA015D8615C}"/>
      </w:docPartPr>
      <w:docPartBody>
        <w:p>
          <w:pPr>
            <w:pStyle w:val="1844"/>
            <w:pBdr/>
            <w:spacing/>
            <w:ind/>
            <w:rPr/>
          </w:pPr>
          <w:r>
            <w:rPr>
              <w:rStyle w:val="1802"/>
            </w:rPr>
            <w:t xml:space="preserve">Click or tap here to enter text.</w:t>
          </w:r>
          <w:r/>
        </w:p>
      </w:docPartBody>
    </w:docPart>
    <w:docPart>
      <w:docPartPr>
        <w:name w:val="1202267C258E4FDDBF76D4A20D8DFD96"/>
        <w:category>
          <w:name w:val="General"/>
          <w:gallery w:val="placeholder"/>
        </w:category>
        <w:types>
          <w:type w:val="bbPlcHdr"/>
        </w:types>
        <w:behaviors>
          <w:behavior w:val="content"/>
        </w:behaviors>
        <w:guid w:val="{D9FFCEEA-B0C6-4F08-90B6-9F6790120B44}"/>
      </w:docPartPr>
      <w:docPartBody>
        <w:p>
          <w:pPr>
            <w:pStyle w:val="1845"/>
            <w:pBdr/>
            <w:spacing/>
            <w:ind/>
            <w:rPr/>
          </w:pPr>
          <w:r>
            <w:rPr>
              <w:rStyle w:val="1802"/>
            </w:rPr>
            <w:t xml:space="preserve">Click or tap here to enter text.</w:t>
          </w:r>
          <w:r/>
        </w:p>
      </w:docPartBody>
    </w:docPart>
    <w:docPart>
      <w:docPartPr>
        <w:name w:val="C89456BA97794014BBE713475EF49208"/>
        <w:category>
          <w:name w:val="General"/>
          <w:gallery w:val="placeholder"/>
        </w:category>
        <w:types>
          <w:type w:val="bbPlcHdr"/>
        </w:types>
        <w:behaviors>
          <w:behavior w:val="content"/>
        </w:behaviors>
        <w:guid w:val="{D180E4F1-5119-4E54-9F8D-618130BEC427}"/>
      </w:docPartPr>
      <w:docPartBody>
        <w:p>
          <w:pPr>
            <w:pStyle w:val="1846"/>
            <w:pBdr/>
            <w:spacing/>
            <w:ind/>
            <w:rPr/>
          </w:pPr>
          <w:r>
            <w:rPr>
              <w:rStyle w:val="1802"/>
            </w:rPr>
            <w:t xml:space="preserve">Click or tap here to enter text.</w:t>
          </w:r>
          <w:r/>
        </w:p>
      </w:docPartBody>
    </w:docPart>
    <w:docPart>
      <w:docPartPr>
        <w:name w:val="9F49067DA8B141488B010943D2B789F9"/>
        <w:category>
          <w:name w:val="General"/>
          <w:gallery w:val="placeholder"/>
        </w:category>
        <w:types>
          <w:type w:val="bbPlcHdr"/>
        </w:types>
        <w:behaviors>
          <w:behavior w:val="content"/>
        </w:behaviors>
        <w:guid w:val="{01CF4760-CF9D-43A8-A482-639BA50BFF52}"/>
      </w:docPartPr>
      <w:docPartBody>
        <w:p>
          <w:pPr>
            <w:pStyle w:val="1847"/>
            <w:pBdr/>
            <w:spacing/>
            <w:ind/>
            <w:rPr/>
          </w:pPr>
          <w:r>
            <w:rPr>
              <w:rStyle w:val="1802"/>
            </w:rPr>
            <w:t xml:space="preserve">Click or tap here to enter text.</w:t>
          </w:r>
          <w:r/>
        </w:p>
      </w:docPartBody>
    </w:docPart>
    <w:docPart>
      <w:docPartPr>
        <w:name w:val="CD4BD01474B04B6F9BE68D061B77B76E"/>
        <w:category>
          <w:name w:val="General"/>
          <w:gallery w:val="placeholder"/>
        </w:category>
        <w:types>
          <w:type w:val="bbPlcHdr"/>
        </w:types>
        <w:behaviors>
          <w:behavior w:val="content"/>
        </w:behaviors>
        <w:guid w:val="{AB72234D-8361-4E8C-9F60-BF7F6FA54DFE}"/>
      </w:docPartPr>
      <w:docPartBody>
        <w:p>
          <w:pPr>
            <w:pStyle w:val="1848"/>
            <w:pBdr/>
            <w:spacing/>
            <w:ind/>
            <w:rPr/>
          </w:pPr>
          <w:r>
            <w:rPr>
              <w:rStyle w:val="1802"/>
            </w:rPr>
            <w:t xml:space="preserve">Click or tap here to enter text.</w:t>
          </w:r>
          <w:r/>
        </w:p>
      </w:docPartBody>
    </w:docPart>
    <w:docPart>
      <w:docPartPr>
        <w:name w:val="49340375C51943B791BB62E7630B2017"/>
        <w:category>
          <w:name w:val="General"/>
          <w:gallery w:val="placeholder"/>
        </w:category>
        <w:types>
          <w:type w:val="bbPlcHdr"/>
        </w:types>
        <w:behaviors>
          <w:behavior w:val="content"/>
        </w:behaviors>
        <w:guid w:val="{32782C4F-8469-4371-A799-0CF1F684DA16}"/>
      </w:docPartPr>
      <w:docPartBody>
        <w:p>
          <w:pPr>
            <w:pStyle w:val="1849"/>
            <w:pBdr/>
            <w:spacing/>
            <w:ind/>
            <w:rPr/>
          </w:pPr>
          <w:r>
            <w:rPr>
              <w:rStyle w:val="1802"/>
            </w:rPr>
            <w:t xml:space="preserve">Click or tap here to enter text.</w:t>
          </w:r>
          <w:r/>
        </w:p>
      </w:docPartBody>
    </w:docPart>
    <w:docPart>
      <w:docPartPr>
        <w:name w:val="7ADCF368F2364D00B7862ECFD9528CA8"/>
        <w:category>
          <w:name w:val="General"/>
          <w:gallery w:val="placeholder"/>
        </w:category>
        <w:types>
          <w:type w:val="bbPlcHdr"/>
        </w:types>
        <w:behaviors>
          <w:behavior w:val="content"/>
        </w:behaviors>
        <w:guid w:val="{FD1BAB46-37FF-4F97-8D4E-E32AA8F4645D}"/>
      </w:docPartPr>
      <w:docPartBody>
        <w:p>
          <w:pPr>
            <w:pStyle w:val="1850"/>
            <w:pBdr/>
            <w:spacing/>
            <w:ind/>
            <w:rPr/>
          </w:pPr>
          <w:r>
            <w:rPr>
              <w:rStyle w:val="1802"/>
            </w:rPr>
            <w:t xml:space="preserve">Click or tap here to enter text.</w:t>
          </w:r>
          <w:r/>
        </w:p>
      </w:docPartBody>
    </w:docPart>
    <w:docPart>
      <w:docPartPr>
        <w:name w:val="389064CC41A24D52BABA5A23E34B9D0A"/>
        <w:category>
          <w:name w:val="General"/>
          <w:gallery w:val="placeholder"/>
        </w:category>
        <w:types>
          <w:type w:val="bbPlcHdr"/>
        </w:types>
        <w:behaviors>
          <w:behavior w:val="content"/>
        </w:behaviors>
        <w:guid w:val="{F4BF46F8-C57E-4599-8300-1BB08BBA242D}"/>
      </w:docPartPr>
      <w:docPartBody>
        <w:p>
          <w:pPr>
            <w:pStyle w:val="1852"/>
            <w:pBdr/>
            <w:spacing/>
            <w:ind/>
            <w:rPr/>
          </w:pPr>
          <w:r>
            <w:rPr>
              <w:rStyle w:val="1802"/>
            </w:rPr>
            <w:t xml:space="preserve">Click or tap here to enter text.</w:t>
          </w:r>
          <w:r/>
        </w:p>
      </w:docPartBody>
    </w:docPart>
    <w:docPart>
      <w:docPartPr>
        <w:name w:val="03DC6804710645AB85DED8D3EE2BFB1D"/>
        <w:category>
          <w:name w:val="General"/>
          <w:gallery w:val="placeholder"/>
        </w:category>
        <w:types>
          <w:type w:val="bbPlcHdr"/>
        </w:types>
        <w:behaviors>
          <w:behavior w:val="content"/>
        </w:behaviors>
        <w:guid w:val="{71AF03A6-AEC8-4998-85D2-2045A2DFAF7A}"/>
      </w:docPartPr>
      <w:docPartBody>
        <w:p>
          <w:pPr>
            <w:pStyle w:val="1853"/>
            <w:pBdr/>
            <w:spacing/>
            <w:ind/>
            <w:rPr/>
          </w:pPr>
          <w:r>
            <w:rPr>
              <w:rStyle w:val="1802"/>
            </w:rPr>
            <w:t xml:space="preserve">Click or tap here to enter text.</w:t>
          </w:r>
          <w:r/>
        </w:p>
      </w:docPartBody>
    </w:docPart>
    <w:docPart>
      <w:docPartPr>
        <w:name w:val="2F7F0CE948754859A4ED351986306DB7"/>
        <w:category>
          <w:name w:val="General"/>
          <w:gallery w:val="placeholder"/>
        </w:category>
        <w:types>
          <w:type w:val="bbPlcHdr"/>
        </w:types>
        <w:behaviors>
          <w:behavior w:val="content"/>
        </w:behaviors>
        <w:guid w:val="{D0CD4B34-6158-4EA9-BC69-B3B601E507F6}"/>
      </w:docPartPr>
      <w:docPartBody>
        <w:p>
          <w:pPr>
            <w:pStyle w:val="1854"/>
            <w:pBdr/>
            <w:spacing/>
            <w:ind/>
            <w:rPr/>
          </w:pPr>
          <w:r>
            <w:rPr>
              <w:rStyle w:val="1802"/>
            </w:rPr>
            <w:t xml:space="preserve">Click or tap here to enter text.</w:t>
          </w:r>
          <w:r/>
        </w:p>
      </w:docPartBody>
    </w:docPart>
    <w:docPart>
      <w:docPartPr>
        <w:name w:val="C5A9D5A25C0646FA9AE47C6188153583"/>
        <w:category>
          <w:name w:val="General"/>
          <w:gallery w:val="placeholder"/>
        </w:category>
        <w:types>
          <w:type w:val="bbPlcHdr"/>
        </w:types>
        <w:behaviors>
          <w:behavior w:val="content"/>
        </w:behaviors>
        <w:guid w:val="{6540509E-895A-4E97-A9B3-B58AF06379A2}"/>
      </w:docPartPr>
      <w:docPartBody>
        <w:p>
          <w:pPr>
            <w:pStyle w:val="1855"/>
            <w:pBdr/>
            <w:spacing/>
            <w:ind/>
            <w:rPr/>
          </w:pPr>
          <w:r>
            <w:rPr>
              <w:rStyle w:val="1802"/>
            </w:rPr>
            <w:t xml:space="preserve">Click or tap here to enter text.</w:t>
          </w:r>
          <w:r/>
        </w:p>
      </w:docPartBody>
    </w:docPart>
    <w:docPart>
      <w:docPartPr>
        <w:name w:val="46D58BEE5EB244CD83F33681FB49681A"/>
        <w:category>
          <w:name w:val="General"/>
          <w:gallery w:val="placeholder"/>
        </w:category>
        <w:types>
          <w:type w:val="bbPlcHdr"/>
        </w:types>
        <w:behaviors>
          <w:behavior w:val="content"/>
        </w:behaviors>
        <w:guid w:val="{036B8878-B6F4-450B-AB9C-43EE926C9091}"/>
      </w:docPartPr>
      <w:docPartBody>
        <w:p>
          <w:pPr>
            <w:pStyle w:val="1857"/>
            <w:pBdr/>
            <w:spacing/>
            <w:ind/>
            <w:rPr/>
          </w:pPr>
          <w:r>
            <w:rPr>
              <w:rStyle w:val="1802"/>
            </w:rPr>
            <w:t xml:space="preserve">Click or tap here to enter text.</w:t>
          </w:r>
          <w:r/>
        </w:p>
      </w:docPartBody>
    </w:docPart>
    <w:docPart>
      <w:docPartPr>
        <w:name w:val="398CDF952B4A4C9DAB65F169322A070A"/>
        <w:category>
          <w:name w:val="General"/>
          <w:gallery w:val="placeholder"/>
        </w:category>
        <w:types>
          <w:type w:val="bbPlcHdr"/>
        </w:types>
        <w:behaviors>
          <w:behavior w:val="content"/>
        </w:behaviors>
        <w:guid w:val="{136583C2-6C8D-4F26-8A79-1AE17B35BC2C}"/>
      </w:docPartPr>
      <w:docPartBody>
        <w:p>
          <w:pPr>
            <w:pStyle w:val="1814"/>
            <w:pBdr/>
            <w:spacing/>
            <w:ind/>
            <w:rPr/>
          </w:pPr>
          <w:r>
            <w:rPr>
              <w:rStyle w:val="1802"/>
            </w:rPr>
            <w:t xml:space="preserve">Click or tap here to enter text.</w:t>
          </w:r>
          <w:r/>
        </w:p>
      </w:docPartBody>
    </w:docPart>
    <w:docPart>
      <w:docPartPr>
        <w:name w:val="F11C26BBA2B14A70B5DE91091B557DB2"/>
        <w:category>
          <w:name w:val="General"/>
          <w:gallery w:val="placeholder"/>
        </w:category>
        <w:types>
          <w:type w:val="bbPlcHdr"/>
        </w:types>
        <w:behaviors>
          <w:behavior w:val="content"/>
        </w:behaviors>
        <w:guid w:val="{1EDACCF1-9082-4352-B68F-E8B17B980C13}"/>
      </w:docPartPr>
      <w:docPartBody>
        <w:p>
          <w:pPr>
            <w:pStyle w:val="1815"/>
            <w:pBdr/>
            <w:spacing/>
            <w:ind/>
            <w:rPr/>
          </w:pPr>
          <w:r>
            <w:rPr>
              <w:rStyle w:val="1802"/>
            </w:rPr>
            <w:t xml:space="preserve">Click or tap here to enter text.</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GB" w:eastAsia="en-GB"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13">
    <w:name w:val="Table Grid"/>
    <w:basedOn w:val="180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Table Grid Light"/>
    <w:basedOn w:val="18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Plain Table 1"/>
    <w:basedOn w:val="18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Plain Table 2"/>
    <w:basedOn w:val="180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Plain Table 3"/>
    <w:basedOn w:val="18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Plain Table 4"/>
    <w:basedOn w:val="18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Plain Table 5"/>
    <w:basedOn w:val="18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Grid Table 1 Light"/>
    <w:basedOn w:val="180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Grid Table 1 Light - Accent 1"/>
    <w:basedOn w:val="18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Grid Table 1 Light - Accent 2"/>
    <w:basedOn w:val="18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Grid Table 1 Light - Accent 3"/>
    <w:basedOn w:val="18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Grid Table 1 Light - Accent 4"/>
    <w:basedOn w:val="18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Grid Table 1 Light - Accent 5"/>
    <w:basedOn w:val="18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Grid Table 1 Light - Accent 6"/>
    <w:basedOn w:val="18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Grid Table 2"/>
    <w:basedOn w:val="18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Grid Table 2 - Accent 1"/>
    <w:basedOn w:val="18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Grid Table 2 - Accent 2"/>
    <w:basedOn w:val="18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Grid Table 2 - Accent 3"/>
    <w:basedOn w:val="18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Grid Table 2 - Accent 4"/>
    <w:basedOn w:val="18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Grid Table 2 - Accent 5"/>
    <w:basedOn w:val="18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Grid Table 2 - Accent 6"/>
    <w:basedOn w:val="18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Grid Table 3"/>
    <w:basedOn w:val="18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Grid Table 3 - Accent 1"/>
    <w:basedOn w:val="18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Grid Table 3 - Accent 2"/>
    <w:basedOn w:val="18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Grid Table 3 - Accent 3"/>
    <w:basedOn w:val="18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Grid Table 3 - Accent 4"/>
    <w:basedOn w:val="18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Grid Table 3 - Accent 5"/>
    <w:basedOn w:val="18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Grid Table 3 - Accent 6"/>
    <w:basedOn w:val="18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Grid Table 4"/>
    <w:basedOn w:val="180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Grid Table 4 - Accent 1"/>
    <w:basedOn w:val="180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Grid Table 4 - Accent 2"/>
    <w:basedOn w:val="180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Grid Table 4 - Accent 3"/>
    <w:basedOn w:val="180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Grid Table 4 - Accent 4"/>
    <w:basedOn w:val="180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Grid Table 4 - Accent 5"/>
    <w:basedOn w:val="180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Grid Table 4 - Accent 6"/>
    <w:basedOn w:val="180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Grid Table 5 Dark"/>
    <w:basedOn w:val="1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Grid Table 5 Dark- Accent 1"/>
    <w:basedOn w:val="1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Grid Table 5 Dark - Accent 2"/>
    <w:basedOn w:val="1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Grid Table 5 Dark - Accent 3"/>
    <w:basedOn w:val="1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Grid Table 5 Dark- Accent 4"/>
    <w:basedOn w:val="1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Grid Table 5 Dark - Accent 5"/>
    <w:basedOn w:val="1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Grid Table 5 Dark - Accent 6"/>
    <w:basedOn w:val="1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Grid Table 6 Colorful"/>
    <w:basedOn w:val="180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56">
    <w:name w:val="Grid Table 6 Colorful - Accent 1"/>
    <w:basedOn w:val="180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57">
    <w:name w:val="Grid Table 6 Colorful - Accent 2"/>
    <w:basedOn w:val="18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58">
    <w:name w:val="Grid Table 6 Colorful - Accent 3"/>
    <w:basedOn w:val="180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59">
    <w:name w:val="Grid Table 6 Colorful - Accent 4"/>
    <w:basedOn w:val="18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60">
    <w:name w:val="Grid Table 6 Colorful - Accent 5"/>
    <w:basedOn w:val="180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61">
    <w:name w:val="Grid Table 6 Colorful - Accent 6"/>
    <w:basedOn w:val="180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62">
    <w:name w:val="Grid Table 7 Colorful"/>
    <w:basedOn w:val="180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Grid Table 7 Colorful - Accent 1"/>
    <w:basedOn w:val="180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Grid Table 7 Colorful - Accent 2"/>
    <w:basedOn w:val="180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Grid Table 7 Colorful - Accent 3"/>
    <w:basedOn w:val="180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Grid Table 7 Colorful - Accent 4"/>
    <w:basedOn w:val="180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Grid Table 7 Colorful - Accent 5"/>
    <w:basedOn w:val="180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Grid Table 7 Colorful - Accent 6"/>
    <w:basedOn w:val="180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List Table 1 Light"/>
    <w:basedOn w:val="1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List Table 1 Light - Accent 1"/>
    <w:basedOn w:val="1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List Table 1 Light - Accent 2"/>
    <w:basedOn w:val="1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List Table 1 Light - Accent 3"/>
    <w:basedOn w:val="1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List Table 1 Light - Accent 4"/>
    <w:basedOn w:val="1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List Table 1 Light - Accent 5"/>
    <w:basedOn w:val="1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List Table 1 Light - Accent 6"/>
    <w:basedOn w:val="1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List Table 2"/>
    <w:basedOn w:val="180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List Table 2 - Accent 1"/>
    <w:basedOn w:val="180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List Table 2 - Accent 2"/>
    <w:basedOn w:val="180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List Table 2 - Accent 3"/>
    <w:basedOn w:val="180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List Table 2 - Accent 4"/>
    <w:basedOn w:val="180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List Table 2 - Accent 5"/>
    <w:basedOn w:val="180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List Table 2 - Accent 6"/>
    <w:basedOn w:val="180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List Table 3"/>
    <w:basedOn w:val="18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List Table 3 - Accent 1"/>
    <w:basedOn w:val="180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List Table 3 - Accent 2"/>
    <w:basedOn w:val="18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List Table 3 - Accent 3"/>
    <w:basedOn w:val="180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List Table 3 - Accent 4"/>
    <w:basedOn w:val="18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List Table 3 - Accent 5"/>
    <w:basedOn w:val="180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List Table 3 - Accent 6"/>
    <w:basedOn w:val="180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List Table 4"/>
    <w:basedOn w:val="18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List Table 4 - Accent 1"/>
    <w:basedOn w:val="180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List Table 4 - Accent 2"/>
    <w:basedOn w:val="180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List Table 4 - Accent 3"/>
    <w:basedOn w:val="180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List Table 4 - Accent 4"/>
    <w:basedOn w:val="180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List Table 4 - Accent 5"/>
    <w:basedOn w:val="180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List Table 4 - Accent 6"/>
    <w:basedOn w:val="180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List Table 5 Dark"/>
    <w:basedOn w:val="180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98">
    <w:name w:val="List Table 5 Dark - Accent 1"/>
    <w:basedOn w:val="180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99">
    <w:name w:val="List Table 5 Dark - Accent 2"/>
    <w:basedOn w:val="180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0">
    <w:name w:val="List Table 5 Dark - Accent 3"/>
    <w:basedOn w:val="180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1">
    <w:name w:val="List Table 5 Dark - Accent 4"/>
    <w:basedOn w:val="180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2">
    <w:name w:val="List Table 5 Dark - Accent 5"/>
    <w:basedOn w:val="180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3">
    <w:name w:val="List Table 5 Dark - Accent 6"/>
    <w:basedOn w:val="180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4">
    <w:name w:val="List Table 6 Colorful"/>
    <w:basedOn w:val="180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name w:val="List Table 6 Colorful - Accent 1"/>
    <w:basedOn w:val="180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name w:val="List Table 6 Colorful - Accent 2"/>
    <w:basedOn w:val="180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List Table 6 Colorful - Accent 3"/>
    <w:basedOn w:val="180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name w:val="List Table 6 Colorful - Accent 4"/>
    <w:basedOn w:val="180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List Table 6 Colorful - Accent 5"/>
    <w:basedOn w:val="180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List Table 6 Colorful - Accent 6"/>
    <w:basedOn w:val="180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List Table 7 Colorful"/>
    <w:basedOn w:val="180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12">
    <w:name w:val="List Table 7 Colorful - Accent 1"/>
    <w:basedOn w:val="180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713">
    <w:name w:val="List Table 7 Colorful - Accent 2"/>
    <w:basedOn w:val="180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714">
    <w:name w:val="List Table 7 Colorful - Accent 3"/>
    <w:basedOn w:val="180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715">
    <w:name w:val="List Table 7 Colorful - Accent 4"/>
    <w:basedOn w:val="180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716">
    <w:name w:val="List Table 7 Colorful - Accent 5"/>
    <w:basedOn w:val="180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717">
    <w:name w:val="List Table 7 Colorful - Accent 6"/>
    <w:basedOn w:val="180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718">
    <w:name w:val="Lined - Accent"/>
    <w:basedOn w:val="1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Lined - Accent 1"/>
    <w:basedOn w:val="1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Lined - Accent 2"/>
    <w:basedOn w:val="1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name w:val="Lined - Accent 3"/>
    <w:basedOn w:val="1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Lined - Accent 4"/>
    <w:basedOn w:val="1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Lined - Accent 5"/>
    <w:basedOn w:val="1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Lined - Accent 6"/>
    <w:basedOn w:val="1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Bordered &amp; Lined - Accent"/>
    <w:basedOn w:val="180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Bordered &amp; Lined - Accent 1"/>
    <w:basedOn w:val="180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Bordered &amp; Lined - Accent 2"/>
    <w:basedOn w:val="180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Bordered &amp; Lined - Accent 3"/>
    <w:basedOn w:val="180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Bordered &amp; Lined - Accent 4"/>
    <w:basedOn w:val="180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Bordered &amp; Lined - Accent 5"/>
    <w:basedOn w:val="180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Bordered &amp; Lined - Accent 6"/>
    <w:basedOn w:val="180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Bordered"/>
    <w:basedOn w:val="180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Bordered - Accent 1"/>
    <w:basedOn w:val="18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Bordered - Accent 2"/>
    <w:basedOn w:val="18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Bordered - Accent 3"/>
    <w:basedOn w:val="18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Bordered - Accent 4"/>
    <w:basedOn w:val="18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Bordered - Accent 5"/>
    <w:basedOn w:val="18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Bordered - Accent 6"/>
    <w:basedOn w:val="18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39">
    <w:name w:val="Heading 1"/>
    <w:basedOn w:val="1798"/>
    <w:next w:val="1798"/>
    <w:link w:val="174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740">
    <w:name w:val="Heading 2"/>
    <w:basedOn w:val="1798"/>
    <w:next w:val="1798"/>
    <w:link w:val="174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741">
    <w:name w:val="Heading 3"/>
    <w:basedOn w:val="1798"/>
    <w:next w:val="1798"/>
    <w:link w:val="175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742">
    <w:name w:val="Heading 4"/>
    <w:basedOn w:val="1798"/>
    <w:next w:val="1798"/>
    <w:link w:val="175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743">
    <w:name w:val="Heading 5"/>
    <w:basedOn w:val="1798"/>
    <w:next w:val="1798"/>
    <w:link w:val="175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744">
    <w:name w:val="Heading 6"/>
    <w:basedOn w:val="1798"/>
    <w:next w:val="1798"/>
    <w:link w:val="175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745">
    <w:name w:val="Heading 7"/>
    <w:basedOn w:val="1798"/>
    <w:next w:val="1798"/>
    <w:link w:val="175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746">
    <w:name w:val="Heading 8"/>
    <w:basedOn w:val="1798"/>
    <w:next w:val="1798"/>
    <w:link w:val="175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747">
    <w:name w:val="Heading 9"/>
    <w:basedOn w:val="1798"/>
    <w:next w:val="1798"/>
    <w:link w:val="175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748">
    <w:name w:val="Heading 1 Char"/>
    <w:basedOn w:val="1799"/>
    <w:link w:val="1739"/>
    <w:uiPriority w:val="9"/>
    <w:pPr>
      <w:pBdr/>
      <w:spacing/>
      <w:ind/>
    </w:pPr>
    <w:rPr>
      <w:rFonts w:ascii="Arial" w:hAnsi="Arial" w:eastAsia="Arial" w:cs="Arial"/>
      <w:color w:val="0f4761" w:themeColor="accent1" w:themeShade="BF"/>
      <w:sz w:val="40"/>
      <w:szCs w:val="40"/>
    </w:rPr>
  </w:style>
  <w:style w:type="character" w:styleId="1749">
    <w:name w:val="Heading 2 Char"/>
    <w:basedOn w:val="1799"/>
    <w:link w:val="1740"/>
    <w:uiPriority w:val="9"/>
    <w:pPr>
      <w:pBdr/>
      <w:spacing/>
      <w:ind/>
    </w:pPr>
    <w:rPr>
      <w:rFonts w:ascii="Arial" w:hAnsi="Arial" w:eastAsia="Arial" w:cs="Arial"/>
      <w:color w:val="0f4761" w:themeColor="accent1" w:themeShade="BF"/>
      <w:sz w:val="32"/>
      <w:szCs w:val="32"/>
    </w:rPr>
  </w:style>
  <w:style w:type="character" w:styleId="1750">
    <w:name w:val="Heading 3 Char"/>
    <w:basedOn w:val="1799"/>
    <w:link w:val="1741"/>
    <w:uiPriority w:val="9"/>
    <w:pPr>
      <w:pBdr/>
      <w:spacing/>
      <w:ind/>
    </w:pPr>
    <w:rPr>
      <w:rFonts w:ascii="Arial" w:hAnsi="Arial" w:eastAsia="Arial" w:cs="Arial"/>
      <w:color w:val="0f4761" w:themeColor="accent1" w:themeShade="BF"/>
      <w:sz w:val="28"/>
      <w:szCs w:val="28"/>
    </w:rPr>
  </w:style>
  <w:style w:type="character" w:styleId="1751">
    <w:name w:val="Heading 4 Char"/>
    <w:basedOn w:val="1799"/>
    <w:link w:val="1742"/>
    <w:uiPriority w:val="9"/>
    <w:pPr>
      <w:pBdr/>
      <w:spacing/>
      <w:ind/>
    </w:pPr>
    <w:rPr>
      <w:rFonts w:ascii="Arial" w:hAnsi="Arial" w:eastAsia="Arial" w:cs="Arial"/>
      <w:i/>
      <w:iCs/>
      <w:color w:val="0f4761" w:themeColor="accent1" w:themeShade="BF"/>
    </w:rPr>
  </w:style>
  <w:style w:type="character" w:styleId="1752">
    <w:name w:val="Heading 5 Char"/>
    <w:basedOn w:val="1799"/>
    <w:link w:val="1743"/>
    <w:uiPriority w:val="9"/>
    <w:pPr>
      <w:pBdr/>
      <w:spacing/>
      <w:ind/>
    </w:pPr>
    <w:rPr>
      <w:rFonts w:ascii="Arial" w:hAnsi="Arial" w:eastAsia="Arial" w:cs="Arial"/>
      <w:color w:val="0f4761" w:themeColor="accent1" w:themeShade="BF"/>
    </w:rPr>
  </w:style>
  <w:style w:type="character" w:styleId="1753">
    <w:name w:val="Heading 6 Char"/>
    <w:basedOn w:val="1799"/>
    <w:link w:val="1744"/>
    <w:uiPriority w:val="9"/>
    <w:pPr>
      <w:pBdr/>
      <w:spacing/>
      <w:ind/>
    </w:pPr>
    <w:rPr>
      <w:rFonts w:ascii="Arial" w:hAnsi="Arial" w:eastAsia="Arial" w:cs="Arial"/>
      <w:i/>
      <w:iCs/>
      <w:color w:val="595959" w:themeColor="text1" w:themeTint="A6"/>
    </w:rPr>
  </w:style>
  <w:style w:type="character" w:styleId="1754">
    <w:name w:val="Heading 7 Char"/>
    <w:basedOn w:val="1799"/>
    <w:link w:val="1745"/>
    <w:uiPriority w:val="9"/>
    <w:pPr>
      <w:pBdr/>
      <w:spacing/>
      <w:ind/>
    </w:pPr>
    <w:rPr>
      <w:rFonts w:ascii="Arial" w:hAnsi="Arial" w:eastAsia="Arial" w:cs="Arial"/>
      <w:color w:val="595959" w:themeColor="text1" w:themeTint="A6"/>
    </w:rPr>
  </w:style>
  <w:style w:type="character" w:styleId="1755">
    <w:name w:val="Heading 8 Char"/>
    <w:basedOn w:val="1799"/>
    <w:link w:val="1746"/>
    <w:uiPriority w:val="9"/>
    <w:pPr>
      <w:pBdr/>
      <w:spacing/>
      <w:ind/>
    </w:pPr>
    <w:rPr>
      <w:rFonts w:ascii="Arial" w:hAnsi="Arial" w:eastAsia="Arial" w:cs="Arial"/>
      <w:i/>
      <w:iCs/>
      <w:color w:val="272727" w:themeColor="text1" w:themeTint="D8"/>
    </w:rPr>
  </w:style>
  <w:style w:type="character" w:styleId="1756">
    <w:name w:val="Heading 9 Char"/>
    <w:basedOn w:val="1799"/>
    <w:link w:val="1747"/>
    <w:uiPriority w:val="9"/>
    <w:pPr>
      <w:pBdr/>
      <w:spacing/>
      <w:ind/>
    </w:pPr>
    <w:rPr>
      <w:rFonts w:ascii="Arial" w:hAnsi="Arial" w:eastAsia="Arial" w:cs="Arial"/>
      <w:i/>
      <w:iCs/>
      <w:color w:val="272727" w:themeColor="text1" w:themeTint="D8"/>
    </w:rPr>
  </w:style>
  <w:style w:type="paragraph" w:styleId="1757">
    <w:name w:val="Title"/>
    <w:basedOn w:val="1798"/>
    <w:next w:val="1798"/>
    <w:link w:val="1758"/>
    <w:uiPriority w:val="10"/>
    <w:qFormat/>
    <w:pPr>
      <w:pBdr/>
      <w:spacing w:after="80" w:line="240" w:lineRule="auto"/>
      <w:ind/>
      <w:contextualSpacing w:val="true"/>
    </w:pPr>
    <w:rPr>
      <w:rFonts w:ascii="Arial" w:hAnsi="Arial" w:eastAsia="Arial" w:cs="Arial"/>
      <w:spacing w:val="-10"/>
      <w:sz w:val="56"/>
      <w:szCs w:val="56"/>
    </w:rPr>
  </w:style>
  <w:style w:type="character" w:styleId="1758">
    <w:name w:val="Title Char"/>
    <w:basedOn w:val="1799"/>
    <w:link w:val="1757"/>
    <w:uiPriority w:val="10"/>
    <w:pPr>
      <w:pBdr/>
      <w:spacing/>
      <w:ind/>
    </w:pPr>
    <w:rPr>
      <w:rFonts w:ascii="Arial" w:hAnsi="Arial" w:eastAsia="Arial" w:cs="Arial"/>
      <w:spacing w:val="-10"/>
      <w:sz w:val="56"/>
      <w:szCs w:val="56"/>
    </w:rPr>
  </w:style>
  <w:style w:type="paragraph" w:styleId="1759">
    <w:name w:val="Subtitle"/>
    <w:basedOn w:val="1798"/>
    <w:next w:val="1798"/>
    <w:link w:val="1760"/>
    <w:uiPriority w:val="11"/>
    <w:qFormat/>
    <w:pPr>
      <w:numPr>
        <w:ilvl w:val="1"/>
      </w:numPr>
      <w:pBdr/>
      <w:spacing/>
      <w:ind/>
    </w:pPr>
    <w:rPr>
      <w:color w:val="595959" w:themeColor="text1" w:themeTint="A6"/>
      <w:spacing w:val="15"/>
      <w:sz w:val="28"/>
      <w:szCs w:val="28"/>
    </w:rPr>
  </w:style>
  <w:style w:type="character" w:styleId="1760">
    <w:name w:val="Subtitle Char"/>
    <w:basedOn w:val="1799"/>
    <w:link w:val="1759"/>
    <w:uiPriority w:val="11"/>
    <w:pPr>
      <w:pBdr/>
      <w:spacing/>
      <w:ind/>
    </w:pPr>
    <w:rPr>
      <w:color w:val="595959" w:themeColor="text1" w:themeTint="A6"/>
      <w:spacing w:val="15"/>
      <w:sz w:val="28"/>
      <w:szCs w:val="28"/>
    </w:rPr>
  </w:style>
  <w:style w:type="paragraph" w:styleId="1761">
    <w:name w:val="Quote"/>
    <w:basedOn w:val="1798"/>
    <w:next w:val="1798"/>
    <w:link w:val="1762"/>
    <w:uiPriority w:val="29"/>
    <w:qFormat/>
    <w:pPr>
      <w:pBdr/>
      <w:spacing w:before="160"/>
      <w:ind/>
      <w:jc w:val="center"/>
    </w:pPr>
    <w:rPr>
      <w:i/>
      <w:iCs/>
      <w:color w:val="404040" w:themeColor="text1" w:themeTint="BF"/>
    </w:rPr>
  </w:style>
  <w:style w:type="character" w:styleId="1762">
    <w:name w:val="Quote Char"/>
    <w:basedOn w:val="1799"/>
    <w:link w:val="1761"/>
    <w:uiPriority w:val="29"/>
    <w:pPr>
      <w:pBdr/>
      <w:spacing/>
      <w:ind/>
    </w:pPr>
    <w:rPr>
      <w:i/>
      <w:iCs/>
      <w:color w:val="404040" w:themeColor="text1" w:themeTint="BF"/>
    </w:rPr>
  </w:style>
  <w:style w:type="paragraph" w:styleId="1763">
    <w:name w:val="List Paragraph"/>
    <w:basedOn w:val="1798"/>
    <w:uiPriority w:val="34"/>
    <w:qFormat/>
    <w:pPr>
      <w:pBdr/>
      <w:spacing/>
      <w:ind w:left="720"/>
      <w:contextualSpacing w:val="true"/>
    </w:pPr>
  </w:style>
  <w:style w:type="character" w:styleId="1764">
    <w:name w:val="Intense Emphasis"/>
    <w:basedOn w:val="1799"/>
    <w:uiPriority w:val="21"/>
    <w:qFormat/>
    <w:pPr>
      <w:pBdr/>
      <w:spacing/>
      <w:ind/>
    </w:pPr>
    <w:rPr>
      <w:i/>
      <w:iCs/>
      <w:color w:val="0f4761" w:themeColor="accent1" w:themeShade="BF"/>
    </w:rPr>
  </w:style>
  <w:style w:type="paragraph" w:styleId="1765">
    <w:name w:val="Intense Quote"/>
    <w:basedOn w:val="1798"/>
    <w:next w:val="1798"/>
    <w:link w:val="17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66">
    <w:name w:val="Intense Quote Char"/>
    <w:basedOn w:val="1799"/>
    <w:link w:val="1765"/>
    <w:uiPriority w:val="30"/>
    <w:pPr>
      <w:pBdr/>
      <w:spacing/>
      <w:ind/>
    </w:pPr>
    <w:rPr>
      <w:i/>
      <w:iCs/>
      <w:color w:val="0f4761" w:themeColor="accent1" w:themeShade="BF"/>
    </w:rPr>
  </w:style>
  <w:style w:type="character" w:styleId="1767">
    <w:name w:val="Intense Reference"/>
    <w:basedOn w:val="1799"/>
    <w:uiPriority w:val="32"/>
    <w:qFormat/>
    <w:pPr>
      <w:pBdr/>
      <w:spacing/>
      <w:ind/>
    </w:pPr>
    <w:rPr>
      <w:b/>
      <w:bCs/>
      <w:smallCaps/>
      <w:color w:val="0f4761" w:themeColor="accent1" w:themeShade="BF"/>
      <w:spacing w:val="5"/>
    </w:rPr>
  </w:style>
  <w:style w:type="paragraph" w:styleId="1768">
    <w:name w:val="No Spacing"/>
    <w:basedOn w:val="1798"/>
    <w:uiPriority w:val="1"/>
    <w:qFormat/>
    <w:pPr>
      <w:pBdr/>
      <w:spacing w:after="0" w:line="240" w:lineRule="auto"/>
      <w:ind/>
    </w:pPr>
  </w:style>
  <w:style w:type="character" w:styleId="1769">
    <w:name w:val="Subtle Emphasis"/>
    <w:basedOn w:val="1799"/>
    <w:uiPriority w:val="19"/>
    <w:qFormat/>
    <w:pPr>
      <w:pBdr/>
      <w:spacing/>
      <w:ind/>
    </w:pPr>
    <w:rPr>
      <w:i/>
      <w:iCs/>
      <w:color w:val="404040" w:themeColor="text1" w:themeTint="BF"/>
    </w:rPr>
  </w:style>
  <w:style w:type="character" w:styleId="1770">
    <w:name w:val="Emphasis"/>
    <w:basedOn w:val="1799"/>
    <w:uiPriority w:val="20"/>
    <w:qFormat/>
    <w:pPr>
      <w:pBdr/>
      <w:spacing/>
      <w:ind/>
    </w:pPr>
    <w:rPr>
      <w:i/>
      <w:iCs/>
    </w:rPr>
  </w:style>
  <w:style w:type="character" w:styleId="1771">
    <w:name w:val="Strong"/>
    <w:basedOn w:val="1799"/>
    <w:uiPriority w:val="22"/>
    <w:qFormat/>
    <w:pPr>
      <w:pBdr/>
      <w:spacing/>
      <w:ind/>
    </w:pPr>
    <w:rPr>
      <w:b/>
      <w:bCs/>
    </w:rPr>
  </w:style>
  <w:style w:type="character" w:styleId="1772">
    <w:name w:val="Subtle Reference"/>
    <w:basedOn w:val="1799"/>
    <w:uiPriority w:val="31"/>
    <w:qFormat/>
    <w:pPr>
      <w:pBdr/>
      <w:spacing/>
      <w:ind/>
    </w:pPr>
    <w:rPr>
      <w:smallCaps/>
      <w:color w:val="5a5a5a" w:themeColor="text1" w:themeTint="A5"/>
    </w:rPr>
  </w:style>
  <w:style w:type="character" w:styleId="1773">
    <w:name w:val="Book Title"/>
    <w:basedOn w:val="1799"/>
    <w:uiPriority w:val="33"/>
    <w:qFormat/>
    <w:pPr>
      <w:pBdr/>
      <w:spacing/>
      <w:ind/>
    </w:pPr>
    <w:rPr>
      <w:b/>
      <w:bCs/>
      <w:i/>
      <w:iCs/>
      <w:spacing w:val="5"/>
    </w:rPr>
  </w:style>
  <w:style w:type="paragraph" w:styleId="1774">
    <w:name w:val="Header"/>
    <w:basedOn w:val="1798"/>
    <w:link w:val="1775"/>
    <w:uiPriority w:val="99"/>
    <w:unhideWhenUsed/>
    <w:pPr>
      <w:pBdr/>
      <w:tabs>
        <w:tab w:val="center" w:leader="none" w:pos="4844"/>
        <w:tab w:val="right" w:leader="none" w:pos="9689"/>
      </w:tabs>
      <w:spacing w:after="0" w:line="240" w:lineRule="auto"/>
      <w:ind/>
    </w:pPr>
  </w:style>
  <w:style w:type="character" w:styleId="1775">
    <w:name w:val="Header Char"/>
    <w:basedOn w:val="1799"/>
    <w:link w:val="1774"/>
    <w:uiPriority w:val="99"/>
    <w:pPr>
      <w:pBdr/>
      <w:spacing/>
      <w:ind/>
    </w:pPr>
  </w:style>
  <w:style w:type="paragraph" w:styleId="1776">
    <w:name w:val="Footer"/>
    <w:basedOn w:val="1798"/>
    <w:link w:val="1777"/>
    <w:uiPriority w:val="99"/>
    <w:unhideWhenUsed/>
    <w:pPr>
      <w:pBdr/>
      <w:tabs>
        <w:tab w:val="center" w:leader="none" w:pos="4844"/>
        <w:tab w:val="right" w:leader="none" w:pos="9689"/>
      </w:tabs>
      <w:spacing w:after="0" w:line="240" w:lineRule="auto"/>
      <w:ind/>
    </w:pPr>
  </w:style>
  <w:style w:type="character" w:styleId="1777">
    <w:name w:val="Footer Char"/>
    <w:basedOn w:val="1799"/>
    <w:link w:val="1776"/>
    <w:uiPriority w:val="99"/>
    <w:pPr>
      <w:pBdr/>
      <w:spacing/>
      <w:ind/>
    </w:pPr>
  </w:style>
  <w:style w:type="paragraph" w:styleId="1778">
    <w:name w:val="Caption"/>
    <w:basedOn w:val="1798"/>
    <w:next w:val="1798"/>
    <w:uiPriority w:val="35"/>
    <w:unhideWhenUsed/>
    <w:qFormat/>
    <w:pPr>
      <w:pBdr/>
      <w:spacing w:after="200" w:line="240" w:lineRule="auto"/>
      <w:ind/>
    </w:pPr>
    <w:rPr>
      <w:i/>
      <w:iCs/>
      <w:color w:val="0e2841" w:themeColor="text2"/>
      <w:sz w:val="18"/>
      <w:szCs w:val="18"/>
    </w:rPr>
  </w:style>
  <w:style w:type="paragraph" w:styleId="1779">
    <w:name w:val="footnote text"/>
    <w:basedOn w:val="1798"/>
    <w:link w:val="1780"/>
    <w:uiPriority w:val="99"/>
    <w:semiHidden/>
    <w:unhideWhenUsed/>
    <w:pPr>
      <w:pBdr/>
      <w:spacing w:after="0" w:line="240" w:lineRule="auto"/>
      <w:ind/>
    </w:pPr>
    <w:rPr>
      <w:sz w:val="20"/>
      <w:szCs w:val="20"/>
    </w:rPr>
  </w:style>
  <w:style w:type="character" w:styleId="1780">
    <w:name w:val="Footnote Text Char"/>
    <w:basedOn w:val="1799"/>
    <w:link w:val="1779"/>
    <w:uiPriority w:val="99"/>
    <w:semiHidden/>
    <w:pPr>
      <w:pBdr/>
      <w:spacing/>
      <w:ind/>
    </w:pPr>
    <w:rPr>
      <w:sz w:val="20"/>
      <w:szCs w:val="20"/>
    </w:rPr>
  </w:style>
  <w:style w:type="character" w:styleId="1781">
    <w:name w:val="footnote reference"/>
    <w:basedOn w:val="1799"/>
    <w:uiPriority w:val="99"/>
    <w:semiHidden/>
    <w:unhideWhenUsed/>
    <w:pPr>
      <w:pBdr/>
      <w:spacing/>
      <w:ind/>
    </w:pPr>
    <w:rPr>
      <w:vertAlign w:val="superscript"/>
    </w:rPr>
  </w:style>
  <w:style w:type="paragraph" w:styleId="1782">
    <w:name w:val="endnote text"/>
    <w:basedOn w:val="1798"/>
    <w:link w:val="1783"/>
    <w:uiPriority w:val="99"/>
    <w:semiHidden/>
    <w:unhideWhenUsed/>
    <w:pPr>
      <w:pBdr/>
      <w:spacing w:after="0" w:line="240" w:lineRule="auto"/>
      <w:ind/>
    </w:pPr>
    <w:rPr>
      <w:sz w:val="20"/>
      <w:szCs w:val="20"/>
    </w:rPr>
  </w:style>
  <w:style w:type="character" w:styleId="1783">
    <w:name w:val="Endnote Text Char"/>
    <w:basedOn w:val="1799"/>
    <w:link w:val="1782"/>
    <w:uiPriority w:val="99"/>
    <w:semiHidden/>
    <w:pPr>
      <w:pBdr/>
      <w:spacing/>
      <w:ind/>
    </w:pPr>
    <w:rPr>
      <w:sz w:val="20"/>
      <w:szCs w:val="20"/>
    </w:rPr>
  </w:style>
  <w:style w:type="character" w:styleId="1784">
    <w:name w:val="endnote reference"/>
    <w:basedOn w:val="1799"/>
    <w:uiPriority w:val="99"/>
    <w:semiHidden/>
    <w:unhideWhenUsed/>
    <w:pPr>
      <w:pBdr/>
      <w:spacing/>
      <w:ind/>
    </w:pPr>
    <w:rPr>
      <w:vertAlign w:val="superscript"/>
    </w:rPr>
  </w:style>
  <w:style w:type="character" w:styleId="1785">
    <w:name w:val="Hyperlink"/>
    <w:basedOn w:val="1799"/>
    <w:uiPriority w:val="99"/>
    <w:unhideWhenUsed/>
    <w:pPr>
      <w:pBdr/>
      <w:spacing/>
      <w:ind/>
    </w:pPr>
    <w:rPr>
      <w:color w:val="0563c1" w:themeColor="hyperlink"/>
      <w:u w:val="single"/>
    </w:rPr>
  </w:style>
  <w:style w:type="character" w:styleId="1786">
    <w:name w:val="FollowedHyperlink"/>
    <w:basedOn w:val="1799"/>
    <w:uiPriority w:val="99"/>
    <w:semiHidden/>
    <w:unhideWhenUsed/>
    <w:pPr>
      <w:pBdr/>
      <w:spacing/>
      <w:ind/>
    </w:pPr>
    <w:rPr>
      <w:color w:val="954f72" w:themeColor="followedHyperlink"/>
      <w:u w:val="single"/>
    </w:rPr>
  </w:style>
  <w:style w:type="paragraph" w:styleId="1787">
    <w:name w:val="toc 1"/>
    <w:basedOn w:val="1798"/>
    <w:next w:val="1798"/>
    <w:uiPriority w:val="39"/>
    <w:unhideWhenUsed/>
    <w:pPr>
      <w:pBdr/>
      <w:spacing w:after="100"/>
      <w:ind/>
    </w:pPr>
  </w:style>
  <w:style w:type="paragraph" w:styleId="1788">
    <w:name w:val="toc 2"/>
    <w:basedOn w:val="1798"/>
    <w:next w:val="1798"/>
    <w:uiPriority w:val="39"/>
    <w:unhideWhenUsed/>
    <w:pPr>
      <w:pBdr/>
      <w:spacing w:after="100"/>
      <w:ind w:left="220"/>
    </w:pPr>
  </w:style>
  <w:style w:type="paragraph" w:styleId="1789">
    <w:name w:val="toc 3"/>
    <w:basedOn w:val="1798"/>
    <w:next w:val="1798"/>
    <w:uiPriority w:val="39"/>
    <w:unhideWhenUsed/>
    <w:pPr>
      <w:pBdr/>
      <w:spacing w:after="100"/>
      <w:ind w:left="440"/>
    </w:pPr>
  </w:style>
  <w:style w:type="paragraph" w:styleId="1790">
    <w:name w:val="toc 4"/>
    <w:basedOn w:val="1798"/>
    <w:next w:val="1798"/>
    <w:uiPriority w:val="39"/>
    <w:unhideWhenUsed/>
    <w:pPr>
      <w:pBdr/>
      <w:spacing w:after="100"/>
      <w:ind w:left="660"/>
    </w:pPr>
  </w:style>
  <w:style w:type="paragraph" w:styleId="1791">
    <w:name w:val="toc 5"/>
    <w:basedOn w:val="1798"/>
    <w:next w:val="1798"/>
    <w:uiPriority w:val="39"/>
    <w:unhideWhenUsed/>
    <w:pPr>
      <w:pBdr/>
      <w:spacing w:after="100"/>
      <w:ind w:left="880"/>
    </w:pPr>
  </w:style>
  <w:style w:type="paragraph" w:styleId="1792">
    <w:name w:val="toc 6"/>
    <w:basedOn w:val="1798"/>
    <w:next w:val="1798"/>
    <w:uiPriority w:val="39"/>
    <w:unhideWhenUsed/>
    <w:pPr>
      <w:pBdr/>
      <w:spacing w:after="100"/>
      <w:ind w:left="1100"/>
    </w:pPr>
  </w:style>
  <w:style w:type="paragraph" w:styleId="1793">
    <w:name w:val="toc 7"/>
    <w:basedOn w:val="1798"/>
    <w:next w:val="1798"/>
    <w:uiPriority w:val="39"/>
    <w:unhideWhenUsed/>
    <w:pPr>
      <w:pBdr/>
      <w:spacing w:after="100"/>
      <w:ind w:left="1320"/>
    </w:pPr>
  </w:style>
  <w:style w:type="paragraph" w:styleId="1794">
    <w:name w:val="toc 8"/>
    <w:basedOn w:val="1798"/>
    <w:next w:val="1798"/>
    <w:uiPriority w:val="39"/>
    <w:unhideWhenUsed/>
    <w:pPr>
      <w:pBdr/>
      <w:spacing w:after="100"/>
      <w:ind w:left="1540"/>
    </w:pPr>
  </w:style>
  <w:style w:type="paragraph" w:styleId="1795">
    <w:name w:val="toc 9"/>
    <w:basedOn w:val="1798"/>
    <w:next w:val="1798"/>
    <w:uiPriority w:val="39"/>
    <w:unhideWhenUsed/>
    <w:pPr>
      <w:pBdr/>
      <w:spacing w:after="100"/>
      <w:ind w:left="1760"/>
    </w:pPr>
  </w:style>
  <w:style w:type="paragraph" w:styleId="1796">
    <w:name w:val="TOC Heading"/>
    <w:uiPriority w:val="39"/>
    <w:unhideWhenUsed/>
    <w:pPr>
      <w:pBdr/>
      <w:spacing/>
      <w:ind/>
    </w:pPr>
  </w:style>
  <w:style w:type="paragraph" w:styleId="1797">
    <w:name w:val="table of figures"/>
    <w:basedOn w:val="1798"/>
    <w:next w:val="1798"/>
    <w:uiPriority w:val="99"/>
    <w:unhideWhenUsed/>
    <w:pPr>
      <w:pBdr/>
      <w:spacing w:after="0" w:afterAutospacing="0"/>
      <w:ind/>
    </w:pPr>
  </w:style>
  <w:style w:type="paragraph" w:styleId="1798" w:default="1">
    <w:name w:val="Normal"/>
    <w:qFormat/>
    <w:pPr>
      <w:pBdr/>
      <w:spacing/>
      <w:ind/>
    </w:pPr>
  </w:style>
  <w:style w:type="character" w:styleId="1799" w:default="1">
    <w:name w:val="Default Paragraph Font"/>
    <w:uiPriority w:val="1"/>
    <w:semiHidden/>
    <w:unhideWhenUsed/>
    <w:pPr>
      <w:pBdr/>
      <w:spacing/>
      <w:ind/>
    </w:pPr>
  </w:style>
  <w:style w:type="table" w:styleId="180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01" w:default="1">
    <w:name w:val="No List"/>
    <w:uiPriority w:val="99"/>
    <w:semiHidden/>
    <w:unhideWhenUsed/>
    <w:pPr>
      <w:pBdr/>
      <w:spacing/>
      <w:ind/>
    </w:pPr>
  </w:style>
  <w:style w:type="character" w:styleId="1802">
    <w:name w:val="Placeholder Text"/>
    <w:basedOn w:val="1799"/>
    <w:uiPriority w:val="99"/>
    <w:semiHidden/>
    <w:pPr>
      <w:pBdr/>
      <w:spacing/>
      <w:ind/>
    </w:pPr>
    <w:rPr>
      <w:color w:val="808080"/>
    </w:rPr>
  </w:style>
  <w:style w:type="paragraph" w:styleId="1803" w:customStyle="1">
    <w:name w:val="848DAB1A934240789C004FACC4376E3B"/>
    <w:pPr>
      <w:pBdr/>
      <w:spacing/>
      <w:ind/>
    </w:pPr>
  </w:style>
  <w:style w:type="paragraph" w:styleId="1804" w:customStyle="1">
    <w:name w:val="1A757B10A0BA420E8275E897F6B883AD"/>
    <w:pPr>
      <w:pBdr/>
      <w:spacing/>
      <w:ind/>
    </w:pPr>
  </w:style>
  <w:style w:type="paragraph" w:styleId="1805" w:customStyle="1">
    <w:name w:val="7E833E5A21894EA9938089F85843E55C"/>
    <w:pPr>
      <w:pBdr/>
      <w:spacing/>
      <w:ind/>
    </w:pPr>
  </w:style>
  <w:style w:type="paragraph" w:styleId="1806" w:customStyle="1">
    <w:name w:val="BD2BE12BFA4642C68040558806FD3C31"/>
    <w:pPr>
      <w:pBdr/>
      <w:spacing/>
      <w:ind/>
    </w:pPr>
  </w:style>
  <w:style w:type="paragraph" w:styleId="1807" w:customStyle="1">
    <w:name w:val="C66E68E57DEB44AEB67B03F37F44EACC"/>
    <w:pPr>
      <w:pBdr/>
      <w:spacing/>
      <w:ind/>
    </w:pPr>
  </w:style>
  <w:style w:type="paragraph" w:styleId="1808" w:customStyle="1">
    <w:name w:val="B8E3646A8B6146C0A35F1C781AC6820B"/>
    <w:pPr>
      <w:pBdr/>
      <w:spacing/>
      <w:ind/>
    </w:pPr>
  </w:style>
  <w:style w:type="paragraph" w:styleId="1809" w:customStyle="1">
    <w:name w:val="87C2003CC4A740B8A145FCD5694C2B96"/>
    <w:pPr>
      <w:pBdr/>
      <w:spacing/>
      <w:ind/>
    </w:pPr>
  </w:style>
  <w:style w:type="paragraph" w:styleId="1810" w:customStyle="1">
    <w:name w:val="2E2BCE48AEAD4A489D0DC423786EEF83"/>
    <w:pPr>
      <w:pBdr/>
      <w:spacing/>
      <w:ind/>
    </w:pPr>
  </w:style>
  <w:style w:type="paragraph" w:styleId="1811" w:customStyle="1">
    <w:name w:val="B67A54FA63344622B4DDAC8CB4BBDC94"/>
    <w:pPr>
      <w:pBdr/>
      <w:spacing/>
      <w:ind/>
    </w:pPr>
  </w:style>
  <w:style w:type="paragraph" w:styleId="1812" w:customStyle="1">
    <w:name w:val="1ED6D567324943A0B55B105CF2247641"/>
    <w:pPr>
      <w:pBdr/>
      <w:spacing/>
      <w:ind/>
    </w:pPr>
  </w:style>
  <w:style w:type="paragraph" w:styleId="1813" w:customStyle="1">
    <w:name w:val="C8091CF37E044277B3D5A54A37B297AC"/>
    <w:pPr>
      <w:pBdr/>
      <w:spacing/>
      <w:ind/>
    </w:pPr>
  </w:style>
  <w:style w:type="paragraph" w:styleId="1814" w:customStyle="1">
    <w:name w:val="398CDF952B4A4C9DAB65F169322A070A"/>
    <w:pPr>
      <w:pBdr/>
      <w:spacing/>
      <w:ind/>
    </w:pPr>
  </w:style>
  <w:style w:type="paragraph" w:styleId="1815" w:customStyle="1">
    <w:name w:val="F11C26BBA2B14A70B5DE91091B557DB2"/>
    <w:pPr>
      <w:pBdr/>
      <w:spacing/>
      <w:ind/>
    </w:pPr>
  </w:style>
  <w:style w:type="paragraph" w:styleId="1816" w:customStyle="1">
    <w:name w:val="CECABE61B1DD475BA7E509254DC18415"/>
    <w:pPr>
      <w:pBdr/>
      <w:spacing/>
      <w:ind/>
    </w:pPr>
  </w:style>
  <w:style w:type="paragraph" w:styleId="1817" w:customStyle="1">
    <w:name w:val="5C4A80C1BF3A4D3682E826C98AD5BDA0"/>
    <w:pPr>
      <w:pBdr/>
      <w:spacing/>
      <w:ind/>
    </w:pPr>
  </w:style>
  <w:style w:type="paragraph" w:styleId="1818" w:customStyle="1">
    <w:name w:val="361F216C03A841C1890A7B111F2AF135"/>
    <w:pPr>
      <w:pBdr/>
      <w:spacing/>
      <w:ind/>
    </w:pPr>
  </w:style>
  <w:style w:type="paragraph" w:styleId="1819" w:customStyle="1">
    <w:name w:val="22CC5648D2384C17A4C12D0FD38893E9"/>
    <w:pPr>
      <w:pBdr/>
      <w:spacing/>
      <w:ind/>
    </w:pPr>
  </w:style>
  <w:style w:type="paragraph" w:styleId="1820" w:customStyle="1">
    <w:name w:val="78E291BC923E40EC9E0B35564FB0117A"/>
    <w:pPr>
      <w:pBdr/>
      <w:spacing/>
      <w:ind/>
    </w:pPr>
  </w:style>
  <w:style w:type="paragraph" w:styleId="1821" w:customStyle="1">
    <w:name w:val="9F26476EA17B43CBA1E70E6657E780F7"/>
    <w:pPr>
      <w:pBdr/>
      <w:spacing/>
      <w:ind/>
    </w:pPr>
  </w:style>
  <w:style w:type="paragraph" w:styleId="1822" w:customStyle="1">
    <w:name w:val="AAAD345CCFBB46A7B3145431099B4FAE"/>
    <w:pPr>
      <w:pBdr/>
      <w:spacing/>
      <w:ind/>
    </w:pPr>
  </w:style>
  <w:style w:type="paragraph" w:styleId="1823" w:customStyle="1">
    <w:name w:val="89631FB4263946C0B14CAA25100729FA"/>
    <w:pPr>
      <w:pBdr/>
      <w:spacing/>
      <w:ind/>
    </w:pPr>
  </w:style>
  <w:style w:type="paragraph" w:styleId="1824" w:customStyle="1">
    <w:name w:val="F28D4C5395084C118724A2A2631BFEB0"/>
    <w:pPr>
      <w:pBdr/>
      <w:spacing/>
      <w:ind/>
    </w:pPr>
  </w:style>
  <w:style w:type="paragraph" w:styleId="1825" w:customStyle="1">
    <w:name w:val="5B556A9DCD014349A0507BC69EF994A9"/>
    <w:pPr>
      <w:pBdr/>
      <w:spacing/>
      <w:ind/>
    </w:pPr>
  </w:style>
  <w:style w:type="paragraph" w:styleId="1826" w:customStyle="1">
    <w:name w:val="3D65D348C52B404992EC4421CBAE518E"/>
    <w:pPr>
      <w:pBdr/>
      <w:spacing/>
      <w:ind/>
    </w:pPr>
  </w:style>
  <w:style w:type="paragraph" w:styleId="1827" w:customStyle="1">
    <w:name w:val="1EAE9558392E49E6B8C52B6393B7FB2E"/>
    <w:pPr>
      <w:pBdr/>
      <w:spacing/>
      <w:ind/>
    </w:pPr>
  </w:style>
  <w:style w:type="paragraph" w:styleId="1828" w:customStyle="1">
    <w:name w:val="04520A1EED814C5EA6B82EA609CA3AAF"/>
    <w:pPr>
      <w:pBdr/>
      <w:spacing/>
      <w:ind/>
    </w:pPr>
  </w:style>
  <w:style w:type="paragraph" w:styleId="1829" w:customStyle="1">
    <w:name w:val="8DF79C69AC294D3090F17605B4FA911A"/>
    <w:pPr>
      <w:pBdr/>
      <w:spacing/>
      <w:ind/>
    </w:pPr>
  </w:style>
  <w:style w:type="paragraph" w:styleId="1830" w:customStyle="1">
    <w:name w:val="911F1505E34742C09C56AA4C2980C152"/>
    <w:pPr>
      <w:pBdr/>
      <w:spacing/>
      <w:ind/>
    </w:pPr>
  </w:style>
  <w:style w:type="paragraph" w:styleId="1831" w:customStyle="1">
    <w:name w:val="C2FDBB35107C4233AFEAE1970E46E06C"/>
    <w:pPr>
      <w:pBdr/>
      <w:spacing/>
      <w:ind/>
    </w:pPr>
  </w:style>
  <w:style w:type="paragraph" w:styleId="1832" w:customStyle="1">
    <w:name w:val="4CE5E270F87F40029D3234977968962E"/>
    <w:pPr>
      <w:pBdr/>
      <w:spacing/>
      <w:ind/>
    </w:pPr>
  </w:style>
  <w:style w:type="paragraph" w:styleId="1833" w:customStyle="1">
    <w:name w:val="4088D5BF6AEE424D8CF7022E6D1103E9"/>
    <w:pPr>
      <w:pBdr/>
      <w:spacing/>
      <w:ind/>
    </w:pPr>
  </w:style>
  <w:style w:type="paragraph" w:styleId="1834" w:customStyle="1">
    <w:name w:val="601DA1C34DE9444AACCEDC65515497CD"/>
    <w:pPr>
      <w:pBdr/>
      <w:spacing/>
      <w:ind/>
    </w:pPr>
  </w:style>
  <w:style w:type="paragraph" w:styleId="1835" w:customStyle="1">
    <w:name w:val="B038DAFD79F044918636F6F40C115858"/>
    <w:pPr>
      <w:pBdr/>
      <w:spacing/>
      <w:ind/>
    </w:pPr>
  </w:style>
  <w:style w:type="paragraph" w:styleId="1836" w:customStyle="1">
    <w:name w:val="F02553567B9D4BF0AC88F8621D7999BF"/>
    <w:pPr>
      <w:pBdr/>
      <w:spacing/>
      <w:ind/>
    </w:pPr>
  </w:style>
  <w:style w:type="paragraph" w:styleId="1837" w:customStyle="1">
    <w:name w:val="B726F69FA8A54899BE0C969A660DCFB4"/>
    <w:pPr>
      <w:pBdr/>
      <w:spacing/>
      <w:ind/>
    </w:pPr>
  </w:style>
  <w:style w:type="paragraph" w:styleId="1838" w:customStyle="1">
    <w:name w:val="EE5F5C6DB39B4CC9B1429848B27DC027"/>
    <w:pPr>
      <w:pBdr/>
      <w:spacing/>
      <w:ind/>
    </w:pPr>
  </w:style>
  <w:style w:type="paragraph" w:styleId="1839" w:customStyle="1">
    <w:name w:val="5C0D9AFF47F04E0D84B52C716A2A2229"/>
    <w:pPr>
      <w:pBdr/>
      <w:spacing/>
      <w:ind/>
    </w:pPr>
  </w:style>
  <w:style w:type="paragraph" w:styleId="1840" w:customStyle="1">
    <w:name w:val="B8A7DB7C4898409CB74AAD598A58CCB7"/>
    <w:pPr>
      <w:pBdr/>
      <w:spacing/>
      <w:ind/>
    </w:pPr>
  </w:style>
  <w:style w:type="paragraph" w:styleId="1841" w:customStyle="1">
    <w:name w:val="63ABF6DE21254B968D595FDACDB3DB3E"/>
    <w:pPr>
      <w:pBdr/>
      <w:spacing/>
      <w:ind/>
    </w:pPr>
  </w:style>
  <w:style w:type="paragraph" w:styleId="1842" w:customStyle="1">
    <w:name w:val="CD470AD81ACE4C8E953763B85555BA1F"/>
    <w:pPr>
      <w:pBdr/>
      <w:spacing/>
      <w:ind/>
    </w:pPr>
  </w:style>
  <w:style w:type="paragraph" w:styleId="1843" w:customStyle="1">
    <w:name w:val="2DF91A2EB6DD4AB5BDD868B927172522"/>
    <w:pPr>
      <w:pBdr/>
      <w:spacing/>
      <w:ind/>
    </w:pPr>
  </w:style>
  <w:style w:type="paragraph" w:styleId="1844" w:customStyle="1">
    <w:name w:val="542082566A274D728975A36EC5716BF8"/>
    <w:pPr>
      <w:pBdr/>
      <w:spacing/>
      <w:ind/>
    </w:pPr>
  </w:style>
  <w:style w:type="paragraph" w:styleId="1845" w:customStyle="1">
    <w:name w:val="1202267C258E4FDDBF76D4A20D8DFD96"/>
    <w:pPr>
      <w:pBdr/>
      <w:spacing/>
      <w:ind/>
    </w:pPr>
  </w:style>
  <w:style w:type="paragraph" w:styleId="1846" w:customStyle="1">
    <w:name w:val="C89456BA97794014BBE713475EF49208"/>
    <w:pPr>
      <w:pBdr/>
      <w:spacing/>
      <w:ind/>
    </w:pPr>
  </w:style>
  <w:style w:type="paragraph" w:styleId="1847" w:customStyle="1">
    <w:name w:val="9F49067DA8B141488B010943D2B789F9"/>
    <w:pPr>
      <w:pBdr/>
      <w:spacing/>
      <w:ind/>
    </w:pPr>
  </w:style>
  <w:style w:type="paragraph" w:styleId="1848" w:customStyle="1">
    <w:name w:val="CD4BD01474B04B6F9BE68D061B77B76E"/>
    <w:pPr>
      <w:pBdr/>
      <w:spacing/>
      <w:ind/>
    </w:pPr>
  </w:style>
  <w:style w:type="paragraph" w:styleId="1849" w:customStyle="1">
    <w:name w:val="49340375C51943B791BB62E7630B2017"/>
    <w:pPr>
      <w:pBdr/>
      <w:spacing/>
      <w:ind/>
    </w:pPr>
  </w:style>
  <w:style w:type="paragraph" w:styleId="1850" w:customStyle="1">
    <w:name w:val="7ADCF368F2364D00B7862ECFD9528CA8"/>
    <w:pPr>
      <w:pBdr/>
      <w:spacing/>
      <w:ind/>
    </w:pPr>
  </w:style>
  <w:style w:type="paragraph" w:styleId="1851" w:customStyle="1">
    <w:name w:val="8AE35A1702414D2D8689BE1DD97D0B97"/>
    <w:pPr>
      <w:pBdr/>
      <w:spacing/>
      <w:ind/>
    </w:pPr>
  </w:style>
  <w:style w:type="paragraph" w:styleId="1852" w:customStyle="1">
    <w:name w:val="389064CC41A24D52BABA5A23E34B9D0A"/>
    <w:pPr>
      <w:pBdr/>
      <w:spacing/>
      <w:ind/>
    </w:pPr>
  </w:style>
  <w:style w:type="paragraph" w:styleId="1853" w:customStyle="1">
    <w:name w:val="03DC6804710645AB85DED8D3EE2BFB1D"/>
    <w:pPr>
      <w:pBdr/>
      <w:spacing/>
      <w:ind/>
    </w:pPr>
  </w:style>
  <w:style w:type="paragraph" w:styleId="1854" w:customStyle="1">
    <w:name w:val="2F7F0CE948754859A4ED351986306DB7"/>
    <w:pPr>
      <w:pBdr/>
      <w:spacing/>
      <w:ind/>
    </w:pPr>
  </w:style>
  <w:style w:type="paragraph" w:styleId="1855" w:customStyle="1">
    <w:name w:val="C5A9D5A25C0646FA9AE47C6188153583"/>
    <w:pPr>
      <w:pBdr/>
      <w:spacing/>
      <w:ind/>
    </w:pPr>
  </w:style>
  <w:style w:type="paragraph" w:styleId="1856" w:customStyle="1">
    <w:name w:val="8F94657E7CC84C119A021777DDE8173F"/>
    <w:pPr>
      <w:pBdr/>
      <w:spacing/>
      <w:ind/>
    </w:pPr>
  </w:style>
  <w:style w:type="paragraph" w:styleId="1857" w:customStyle="1">
    <w:name w:val="46D58BEE5EB244CD83F33681FB49681A"/>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isl xmlns:xsd="http://www.w3.org/2001/XMLSchema" xmlns:xsi="http://www.w3.org/2001/XMLSchema-instance" xmlns="http://www.boldonjames.com/2008/01/sie/internal/label" sislVersion="0" policy="973096ae-7329-4b3b-9368-47aeba6959e1" origin="userSelected">
  <element uid="id_classification_nonbusiness" value=""/>
</sisl>
</file>

<file path=customXml/item4.xml><?xml version="1.0" encoding="utf-8"?>
<ct:contentTypeSchema xmlns:ct="http://schemas.microsoft.com/office/2006/metadata/contentType" xmlns:ma="http://schemas.microsoft.com/office/2006/metadata/properties/metaAttributes" ct:_="" ma:_="" ma:contentTypeName="Document" ma:contentTypeID="0x010100D7C6947C0F765F428416B2828D309B65" ma:contentTypeVersion="16" ma:contentTypeDescription="Create a new document." ma:contentTypeScope="" ma:versionID="7647c6595f224e3bd9e63834e1bb6261">
  <xsd:schema xmlns:xsd="http://www.w3.org/2001/XMLSchema" xmlns:xs="http://www.w3.org/2001/XMLSchema" xmlns:p="http://schemas.microsoft.com/office/2006/metadata/properties" xmlns:ns1="http://schemas.microsoft.com/sharepoint/v3" xmlns:ns2="3ffacce4-957f-4f0a-910f-9efe2ecf512c" xmlns:ns3="d66eba0d-a2b9-4833-9603-ab5d8f45883c" targetNamespace="http://schemas.microsoft.com/office/2006/metadata/properties" ma:root="true" ma:fieldsID="0e1e0c35e55ed21418a3626af8608a3f" ns1:_="" ns2:_="" ns3:_="">
    <xsd:import namespace="http://schemas.microsoft.com/sharepoint/v3"/>
    <xsd:import namespace="3ffacce4-957f-4f0a-910f-9efe2ecf512c"/>
    <xsd:import namespace="d66eba0d-a2b9-4833-9603-ab5d8f45883c"/>
    <xsd:element name="properties">
      <xsd:complexType>
        <xsd:sequence>
          <xsd:element name="documentManagement">
            <xsd:complexType>
              <xsd:all>
                <xsd:element ref="ns2:PublicationRequestID" minOccurs="0"/>
                <xsd:element ref="ns2:DocumentTitle" minOccurs="0"/>
                <xsd:element ref="ns2:DocumentRank"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facce4-957f-4f0a-910f-9efe2ecf512c" elementFormDefault="qualified">
    <xsd:import namespace="http://schemas.microsoft.com/office/2006/documentManagement/types"/>
    <xsd:import namespace="http://schemas.microsoft.com/office/infopath/2007/PartnerControls"/>
    <xsd:element name="PublicationRequestID" ma:index="8" nillable="true" ma:displayName="PublicationRequestID" ma:format="Dropdown" ma:internalName="PublicationRequestID" ma:percentage="FALSE">
      <xsd:simpleType>
        <xsd:restriction base="dms:Number"/>
      </xsd:simpleType>
    </xsd:element>
    <xsd:element name="DocumentTitle" ma:index="9" nillable="true" ma:displayName="DocumentTitle" ma:format="Dropdown" ma:internalName="DocumentTitle">
      <xsd:simpleType>
        <xsd:restriction base="dms:Note">
          <xsd:maxLength value="255"/>
        </xsd:restriction>
      </xsd:simpleType>
    </xsd:element>
    <xsd:element name="DocumentRank" ma:index="10" nillable="true" ma:displayName="DocumentImportance" ma:format="Dropdown" ma:internalName="DocumentRank">
      <xsd:simpleType>
        <xsd:restriction base="dms:Text">
          <xsd:maxLength value="255"/>
        </xsd:restrictio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1db303c-1d0a-4523-bf11-6998614b3713" ma:termSetId="09814cd3-568e-fe90-9814-8d621ff8fb84" ma:anchorId="fba54fb3-c3e1-fe81-a776-ca4b69148c4d" ma:open="true" ma:isKeyword="false">
      <xsd:complexType>
        <xsd:sequence>
          <xsd:element ref="pc:Terms" minOccurs="0" maxOccurs="1"/>
        </xsd:sequence>
      </xsd:complex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eba0d-a2b9-4833-9603-ab5d8f45883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db3995f-4898-4ee6-8000-b65c76445445}" ma:internalName="TaxCatchAll" ma:showField="CatchAllData" ma:web="d66eba0d-a2b9-4833-9603-ab5d8f4588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d66eba0d-a2b9-4833-9603-ab5d8f45883c" xsi:nil="true"/>
    <lcf76f155ced4ddcb4097134ff3c332f xmlns="3ffacce4-957f-4f0a-910f-9efe2ecf512c">
      <Terms xmlns="http://schemas.microsoft.com/office/infopath/2007/PartnerControls"/>
    </lcf76f155ced4ddcb4097134ff3c332f>
    <PublicationRequestID xmlns="3ffacce4-957f-4f0a-910f-9efe2ecf512c">3194</PublicationRequestID>
    <DocumentTitle xmlns="3ffacce4-957f-4f0a-910f-9efe2ecf512c">Curate consultation Demand Connections Reform: response template</DocumentTitle>
    <DocumentRank xmlns="3ffacce4-957f-4f0a-910f-9efe2ecf512c">Subsidiary</DocumentRank>
  </documentManagement>
</p:properties>
</file>

<file path=customXml/itemProps1.xml><?xml version="1.0" encoding="utf-8"?>
<ds:datastoreItem xmlns:ds="http://schemas.openxmlformats.org/officeDocument/2006/customXml" ds:itemID="2E143E01-5634-465E-AA28-1118544BA9B3">
  <ds:schemaRefs>
    <ds:schemaRef ds:uri="http://schemas.microsoft.com/sharepoint/v3/contenttype/forms"/>
  </ds:schemaRefs>
</ds:datastoreItem>
</file>

<file path=customXml/itemProps2.xml><?xml version="1.0" encoding="utf-8"?>
<ds:datastoreItem xmlns:ds="http://schemas.openxmlformats.org/officeDocument/2006/customXml" ds:itemID="79CB1668-6D20-45BB-BA67-7759D3F73937">
  <ds:schemaRefs>
    <ds:schemaRef ds:uri="http://schemas.openxmlformats.org/officeDocument/2006/bibliography"/>
  </ds:schemaRefs>
</ds:datastoreItem>
</file>

<file path=customXml/itemProps3.xml><?xml version="1.0" encoding="utf-8"?>
<ds:datastoreItem xmlns:ds="http://schemas.openxmlformats.org/officeDocument/2006/customXml" ds:itemID="667A714E-F85A-4EF2-BFD3-43DF2789CC0A">
  <ds:schemaRefs>
    <ds:schemaRef ds:uri="http://www.w3.org/2001/XMLSchema"/>
    <ds:schemaRef ds:uri="http://www.boldonjames.com/2008/01/sie/internal/label"/>
    <ds:schemaRef ds:uri="http://www.w3.org/2001/XMLSchema-instance"/>
  </ds:schemaRefs>
</ds:datastoreItem>
</file>

<file path=customXml/itemProps4.xml><?xml version="1.0" encoding="utf-8"?>
<ds:datastoreItem xmlns:ds="http://schemas.openxmlformats.org/officeDocument/2006/customXml" ds:itemID="8FBD16E8-B112-421A-9C18-455520E72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facce4-957f-4f0a-910f-9efe2ecf512c"/>
    <ds:schemaRef ds:uri="d66eba0d-a2b9-4833-9603-ab5d8f458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5.xml><?xml version="1.0" encoding="utf-8"?>
<ds:datastoreItem xmlns:ds="http://schemas.openxmlformats.org/officeDocument/2006/customXml" ds:itemID="CF77181E-7339-4CF7-88A0-499FD03A89D3">
  <ds:schemaRefs>
    <ds:schemaRef ds:uri="http://schemas.microsoft.com/office/2006/metadata/properties"/>
    <ds:schemaRef ds:uri="http://schemas.microsoft.com/office/infopath/2007/PartnerControls"/>
    <ds:schemaRef ds:uri="http://schemas.microsoft.com/sharepoint/v3"/>
    <ds:schemaRef ds:uri="d66eba0d-a2b9-4833-9603-ab5d8f45883c"/>
    <ds:schemaRef ds:uri="3ffacce4-957f-4f0a-910f-9efe2ecf512c"/>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Curate Consultation Response Template</dc:title>
  <dc:subject/>
  <dc:creator>Kingsley Emeana</dc:creator>
  <cp:keywords/>
  <dc:description/>
  <cp:revision>10</cp:revision>
  <dcterms:created xsi:type="dcterms:W3CDTF">2026-07-22T16:04:00Z</dcterms:created>
  <dcterms:modified xsi:type="dcterms:W3CDTF">2026-09-02T14:06:21Z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bf0fb654-234e-4133-ac53-0b1fbbda0a7e</vt:lpwstr>
  </property>
  <property fmtid="{D5CDD505-2E9C-101B-9397-08002B2CF9AE}" pid="3" name="bjClsUserRVM">
    <vt:lpwstr>[]</vt:lpwstr>
  </property>
  <property fmtid="{D5CDD505-2E9C-101B-9397-08002B2CF9AE}" pid="4" name="bjSaver">
    <vt:lpwstr>5Co6/L1n1Q/URYmDwx7l27t5kugpFUxs</vt:lpwstr>
  </property>
  <property fmtid="{D5CDD505-2E9C-101B-9397-08002B2CF9AE}" pid="5" name="ContentTypeId">
    <vt:lpwstr>0x010100D7C6947C0F765F428416B2828D309B65</vt:lpwstr>
  </property>
  <property fmtid="{D5CDD505-2E9C-101B-9397-08002B2CF9AE}" pid="6" name="MSIP_Label_38144ccb-b10a-4c0f-b070-7a3b00ac7463_Enabled">
    <vt:lpwstr>true</vt:lpwstr>
  </property>
  <property fmtid="{D5CDD505-2E9C-101B-9397-08002B2CF9AE}" pid="7" name="MSIP_Label_38144ccb-b10a-4c0f-b070-7a3b00ac7463_SetDate">
    <vt:lpwstr>2024-11-14T13:07:57Z</vt:lpwstr>
  </property>
  <property fmtid="{D5CDD505-2E9C-101B-9397-08002B2CF9AE}" pid="8" name="MSIP_Label_38144ccb-b10a-4c0f-b070-7a3b00ac7463_Method">
    <vt:lpwstr>Standard</vt:lpwstr>
  </property>
  <property fmtid="{D5CDD505-2E9C-101B-9397-08002B2CF9AE}" pid="9" name="MSIP_Label_38144ccb-b10a-4c0f-b070-7a3b00ac7463_Name">
    <vt:lpwstr>InternalOnly</vt:lpwstr>
  </property>
  <property fmtid="{D5CDD505-2E9C-101B-9397-08002B2CF9AE}" pid="10" name="MSIP_Label_38144ccb-b10a-4c0f-b070-7a3b00ac7463_SiteId">
    <vt:lpwstr>185562ad-39bc-4840-8e40-be6216340c52</vt:lpwstr>
  </property>
  <property fmtid="{D5CDD505-2E9C-101B-9397-08002B2CF9AE}" pid="11" name="MSIP_Label_38144ccb-b10a-4c0f-b070-7a3b00ac7463_ActionId">
    <vt:lpwstr>bc64f0f3-75f0-4e9b-af3c-535819150d79</vt:lpwstr>
  </property>
  <property fmtid="{D5CDD505-2E9C-101B-9397-08002B2CF9AE}" pid="12" name="MSIP_Label_38144ccb-b10a-4c0f-b070-7a3b00ac7463_ContentBits">
    <vt:lpwstr>2</vt:lpwstr>
  </property>
  <property fmtid="{D5CDD505-2E9C-101B-9397-08002B2CF9AE}" pid="13" name="MediaServiceImageTags">
    <vt:lpwstr/>
  </property>
  <property fmtid="{D5CDD505-2E9C-101B-9397-08002B2CF9AE}" pid="14" name="bjDocumentLabelXML">
    <vt:lpwstr>&lt;?xml version="1.0" encoding="us-ascii"?&gt;&lt;sisl xmlns:xsd="http://www.w3.org/2001/XMLSchema" xmlns:xsi="http://www.w3.org/2001/XMLSchema-instance" sislVersion="0" policy="973096ae-7329-4b3b-9368-47aeba6959e1" origin="userSelected" xmlns="http://www.boldonj</vt:lpwstr>
  </property>
  <property fmtid="{D5CDD505-2E9C-101B-9397-08002B2CF9AE}" pid="15" name="bjDocumentLabelXML-0">
    <vt:lpwstr>ames.com/2008/01/sie/internal/label"&gt;&lt;element uid="id_classification_nonbusiness" value="" /&gt;&lt;/sisl&gt;</vt:lpwstr>
  </property>
  <property fmtid="{D5CDD505-2E9C-101B-9397-08002B2CF9AE}" pid="16" name="bjDocumentSecurityLabel">
    <vt:lpwstr>OFFICIAL</vt:lpwstr>
  </property>
</Properties>
</file>