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rPr/>
      </w:pPr>
      <w:r>
        <w:rPr>
          <w:rFonts w:ascii="Calibri" w:hAnsi="Calibri" w:eastAsia="Calibri" w:cs="Calibri"/>
          <w:b/>
          <w:bCs/>
          <w:sz w:val="32"/>
          <w:szCs w:val="32"/>
        </w:rPr>
        <w:t xml:space="preserve">Data Centres APPG — Inquiry 1: Unlocking the UK’s Data Centre Growth Opportunity</w:t>
      </w:r>
    </w:p>
    <w:p>
      <w:pPr>
        <w:pBdr/>
        <w:spacing w:after="60"/>
        <w:ind/>
        <w:rPr/>
      </w:pPr>
      <w:r>
        <w:rPr>
          <w:rFonts w:ascii="Calibri" w:hAnsi="Calibri" w:eastAsia="Calibri" w:cs="Calibri"/>
          <w:b/>
          <w:bCs/>
          <w:sz w:val="26"/>
          <w:szCs w:val="26"/>
        </w:rPr>
        <w:t xml:space="preserve">Written evidence</w:t>
      </w:r>
    </w:p>
    <w:p>
      <w:pPr>
        <w:pBdr>
          <w:bottom w:val="single" w:color="999999" w:sz="6" w:space="1"/>
        </w:pBdr>
        <w:spacing w:after="240"/>
        <w:ind/>
        <w:rPr/>
      </w:pPr>
    </w:p>
    <w:p>
      <w:pPr>
        <w:pBdr/>
        <w:spacing w:after="120" w:before="240"/>
        <w:ind/>
        <w:rPr/>
      </w:pPr>
      <w:r>
        <w:rPr>
          <w:rFonts w:ascii="Calibri" w:hAnsi="Calibri" w:eastAsia="Calibri" w:cs="Calibri"/>
          <w:b/>
          <w:bCs/>
          <w:sz w:val="24"/>
          <w:szCs w:val="24"/>
        </w:rPr>
        <w:t xml:space="preserve">Respondent information</w:t>
      </w:r>
    </w:p>
    <w:p>
      <w:pPr>
        <w:pBdr/>
        <w:spacing w:after="140" w:line="252" w:lineRule="auto"/>
        <w:ind/>
        <w:rPr/>
      </w:pPr>
      <w:r>
        <w:rPr>
          <w:rFonts w:ascii="Calibri" w:hAnsi="Calibri" w:eastAsia="Calibri" w:cs="Calibri"/>
          <w:b/>
          <w:bCs/>
          <w:sz w:val="22"/>
          <w:szCs w:val="22"/>
        </w:rPr>
        <w:t xml:space="preserve">Organisation name: </w:t>
      </w:r>
      <w:r>
        <w:rPr>
          <w:rFonts w:ascii="Calibri" w:hAnsi="Calibri" w:eastAsia="Calibri" w:cs="Calibri"/>
          <w:sz w:val="22"/>
          <w:szCs w:val="22"/>
        </w:rPr>
        <w:t xml:space="preserve">Responding in a personal capacity</w:t>
      </w:r>
      <w:r>
        <w:rPr>
          <w:rFonts w:ascii="Calibri" w:hAnsi="Calibri" w:eastAsia="Calibri" w:cs="Calibri"/>
          <w:sz w:val="22"/>
          <w:szCs w:val="22"/>
          <w:lang w:val="en-GB"/>
        </w:rPr>
      </w:r>
    </w:p>
    <w:p>
      <w:pPr>
        <w:pBdr/>
        <w:spacing w:after="140" w:line="252" w:lineRule="auto"/>
        <w:ind/>
        <w:rPr>
          <w:b/>
          <w:bCs/>
        </w:rPr>
      </w:pPr>
      <w:r>
        <w:rPr>
          <w:rFonts w:ascii="Calibri" w:hAnsi="Calibri" w:eastAsia="Calibri" w:cs="Calibri"/>
          <w:b/>
          <w:bCs/>
          <w:sz w:val="22"/>
          <w:szCs w:val="22"/>
        </w:rPr>
        <w:t xml:space="preserve">Contact name &amp; role:</w:t>
      </w:r>
      <w:r>
        <w:rPr>
          <w:rFonts w:ascii="Calibri" w:hAnsi="Calibri" w:eastAsia="Calibri" w:cs="Calibri"/>
          <w:b w:val="0"/>
          <w:bCs w:val="0"/>
          <w:sz w:val="22"/>
          <w:szCs w:val="22"/>
        </w:rPr>
        <w:t xml:space="preserve"> </w:t>
      </w:r>
      <w:r>
        <w:rPr>
          <w:rFonts w:ascii="Calibri" w:hAnsi="Calibri" w:eastAsia="Calibri" w:cs="Calibri"/>
          <w:b w:val="0"/>
          <w:bCs w:val="0"/>
          <w:sz w:val="22"/>
          <w:szCs w:val="22"/>
          <w:lang w:val="en-GB"/>
        </w:rPr>
        <w:t xml:space="preserve">Andy Graham Moran (personal research identity: Heaviside Analytics)</w:t>
      </w:r>
      <w:r>
        <w:rPr>
          <w:b/>
          <w:bCs/>
        </w:rPr>
      </w:r>
    </w:p>
    <w:p>
      <w:pPr>
        <w:pBdr/>
        <w:spacing w:after="140" w:line="252" w:lineRule="auto"/>
        <w:ind/>
        <w:rPr/>
      </w:pPr>
      <w:r>
        <w:rPr>
          <w:rFonts w:ascii="Calibri" w:hAnsi="Calibri" w:eastAsia="Calibri" w:cs="Calibri"/>
          <w:b/>
          <w:bCs/>
          <w:sz w:val="22"/>
          <w:szCs w:val="22"/>
        </w:rPr>
        <w:t xml:space="preserve">Email: </w:t>
      </w:r>
      <w:r>
        <w:rPr>
          <w:rFonts w:ascii="Calibri" w:hAnsi="Calibri" w:eastAsia="Calibri" w:cs="Calibri"/>
          <w:sz w:val="22"/>
          <w:szCs w:val="22"/>
          <w:lang w:val="en-GB"/>
        </w:rPr>
        <w:t xml:space="preserve">andrewgmoran@gmail.com</w:t>
      </w:r>
    </w:p>
    <w:p>
      <w:pPr>
        <w:pBdr/>
        <w:spacing w:after="140" w:line="252" w:lineRule="auto"/>
        <w:ind/>
        <w:rPr/>
      </w:pPr>
      <w:r>
        <w:rPr>
          <w:rFonts w:ascii="Calibri" w:hAnsi="Calibri" w:eastAsia="Calibri" w:cs="Calibri"/>
          <w:b/>
          <w:bCs/>
          <w:sz w:val="22"/>
          <w:szCs w:val="22"/>
        </w:rPr>
        <w:t xml:space="preserve">Happy to be referred to in evidence sessions and final report: </w:t>
      </w:r>
      <w:r>
        <w:rPr>
          <w:rFonts w:ascii="Calibri" w:hAnsi="Calibri" w:eastAsia="Calibri" w:cs="Calibri"/>
          <w:sz w:val="22"/>
          <w:szCs w:val="22"/>
        </w:rPr>
        <w:t xml:space="preserve">Yes</w:t>
      </w:r>
    </w:p>
    <w:p>
      <w:pPr>
        <w:pBdr/>
        <w:spacing w:after="140" w:line="252" w:lineRule="auto"/>
        <w:ind/>
        <w:rPr/>
      </w:pPr>
      <w:r>
        <w:rPr>
          <w:rFonts w:ascii="Calibri" w:hAnsi="Calibri" w:eastAsia="Calibri" w:cs="Calibri"/>
          <w:b/>
          <w:bCs/>
          <w:sz w:val="22"/>
          <w:szCs w:val="22"/>
        </w:rPr>
        <w:t xml:space="preserve">Responding: </w:t>
      </w:r>
      <w:r>
        <w:rPr>
          <w:rFonts w:ascii="Calibri" w:hAnsi="Calibri" w:eastAsia="Calibri" w:cs="Calibri"/>
          <w:sz w:val="22"/>
          <w:szCs w:val="22"/>
        </w:rPr>
        <w:t xml:space="preserve">In a personal capacity</w:t>
      </w:r>
    </w:p>
    <w:p>
      <w:pPr>
        <w:pBdr/>
        <w:spacing w:after="140" w:line="252" w:lineRule="auto"/>
        <w:ind/>
        <w:rPr/>
      </w:pPr>
      <w:r>
        <w:rPr>
          <w:rFonts w:ascii="Calibri" w:hAnsi="Calibri" w:eastAsia="Calibri" w:cs="Calibri"/>
          <w:b/>
          <w:bCs/>
          <w:sz w:val="22"/>
          <w:szCs w:val="22"/>
        </w:rPr>
        <w:t xml:space="preserve">Relevant expertise: </w:t>
      </w:r>
      <w:r>
        <w:rPr>
          <w:rFonts w:ascii="Calibri" w:hAnsi="Calibri" w:eastAsia="Calibri" w:cs="Calibri"/>
          <w:sz w:val="22"/>
          <w:szCs w:val="22"/>
        </w:rPr>
        <w:t xml:space="preserve">Set out in paragraph 1 below</w:t>
      </w:r>
    </w:p>
    <w:p>
      <w:pPr>
        <w:pBdr/>
        <w:spacing w:after="140" w:line="252" w:lineRule="auto"/>
        <w:ind/>
        <w:rPr/>
      </w:pPr>
      <w:r>
        <w:rPr>
          <w:rFonts w:ascii="Calibri" w:hAnsi="Calibri" w:eastAsia="Calibri" w:cs="Calibri"/>
          <w:b/>
          <w:bCs/>
          <w:sz w:val="22"/>
          <w:szCs w:val="22"/>
        </w:rPr>
        <w:t xml:space="preserve">Sector / stakeholder type: </w:t>
      </w:r>
      <w:r>
        <w:rPr>
          <w:rFonts w:ascii="Calibri" w:hAnsi="Calibri" w:eastAsia="Calibri" w:cs="Calibri"/>
          <w:sz w:val="22"/>
          <w:szCs w:val="22"/>
        </w:rPr>
        <w:t xml:space="preserve">Other: independent open-data analysis</w:t>
      </w:r>
    </w:p>
    <w:p>
      <w:pPr>
        <w:pBdr/>
        <w:spacing w:after="140" w:line="252" w:lineRule="auto"/>
        <w:ind/>
        <w:rPr/>
      </w:pPr>
      <w:r>
        <w:rPr>
          <w:rFonts w:ascii="Calibri" w:hAnsi="Calibri" w:eastAsia="Calibri" w:cs="Calibri"/>
          <w:b/>
          <w:bCs/>
          <w:sz w:val="22"/>
          <w:szCs w:val="22"/>
        </w:rPr>
        <w:t xml:space="preserve">Relevant interests: </w:t>
      </w:r>
      <w:r>
        <w:rPr>
          <w:rFonts w:ascii="Calibri" w:hAnsi="Calibri" w:eastAsia="Calibri" w:cs="Calibri"/>
          <w:sz w:val="22"/>
          <w:szCs w:val="22"/>
        </w:rPr>
        <w:t xml:space="preserve">None</w:t>
      </w:r>
    </w:p>
    <w:p>
      <w:pPr>
        <w:pBdr/>
        <w:spacing w:after="140" w:line="252" w:lineRule="auto"/>
        <w:ind/>
        <w:rPr/>
      </w:pPr>
      <w:r>
        <w:rPr>
          <w:rFonts w:ascii="Calibri" w:hAnsi="Calibri" w:eastAsia="Calibri" w:cs="Calibri"/>
          <w:b/>
          <w:bCs/>
          <w:sz w:val="22"/>
          <w:szCs w:val="22"/>
        </w:rPr>
        <w:t xml:space="preserve">Willing to give oral evidence: </w:t>
      </w:r>
      <w:r>
        <w:rPr>
          <w:rFonts w:ascii="Calibri" w:hAnsi="Calibri" w:eastAsia="Calibri" w:cs="Calibri"/>
          <w:sz w:val="22"/>
          <w:szCs w:val="22"/>
          <w:lang w:val="en-GB"/>
        </w:rPr>
        <w:t xml:space="preserve">Yes</w:t>
      </w:r>
    </w:p>
    <w:p>
      <w:pPr>
        <w:pBdr/>
        <w:spacing w:after="140" w:line="252" w:lineRule="auto"/>
        <w:ind/>
        <w:rPr/>
      </w:pPr>
      <w:r>
        <w:rPr>
          <w:rFonts w:ascii="Calibri" w:hAnsi="Calibri" w:eastAsia="Calibri" w:cs="Calibri"/>
          <w:b/>
          <w:bCs/>
          <w:sz w:val="22"/>
          <w:szCs w:val="22"/>
        </w:rPr>
        <w:t xml:space="preserve">Would like updates on the APPG’s future work: </w:t>
      </w:r>
      <w:r>
        <w:rPr>
          <w:rFonts w:ascii="Calibri" w:hAnsi="Calibri" w:eastAsia="Calibri" w:cs="Calibri"/>
          <w:sz w:val="22"/>
          <w:szCs w:val="22"/>
          <w:lang w:val="en-GB"/>
        </w:rPr>
        <w:t xml:space="preserve">Yes</w:t>
      </w:r>
    </w:p>
    <w:p>
      <w:pPr>
        <w:pBdr>
          <w:bottom w:val="single" w:color="999999" w:sz="6" w:space="1"/>
        </w:pBdr>
        <w:spacing w:after="240"/>
        <w:ind/>
        <w:rPr/>
      </w:pPr>
    </w:p>
    <w:p>
      <w:pPr>
        <w:pBdr/>
        <w:spacing w:after="120" w:before="240"/>
        <w:ind/>
        <w:rPr/>
      </w:pPr>
      <w:r>
        <w:rPr>
          <w:rFonts w:ascii="Calibri" w:hAnsi="Calibri" w:eastAsia="Calibri" w:cs="Calibri"/>
          <w:b/>
          <w:bCs/>
          <w:sz w:val="24"/>
          <w:szCs w:val="24"/>
        </w:rPr>
        <w:t xml:space="preserve">Executive summary</w:t>
      </w:r>
    </w:p>
    <w:p>
      <w:pPr>
        <w:pBdr/>
        <w:spacing w:after="140" w:line="252" w:lineRule="auto"/>
        <w:ind/>
        <w:rPr/>
      </w:pPr>
      <w:r>
        <w:rPr>
          <w:rFonts w:ascii="Calibri" w:hAnsi="Calibri" w:eastAsia="Calibri" w:cs="Calibri"/>
          <w:b/>
          <w:bCs/>
          <w:sz w:val="22"/>
          <w:szCs w:val="22"/>
        </w:rPr>
        <w:t xml:space="preserve">1. </w:t>
      </w:r>
      <w:r>
        <w:rPr>
          <w:rFonts w:ascii="Calibri" w:hAnsi="Calibri" w:eastAsia="Calibri" w:cs="Calibri"/>
          <w:sz w:val="22"/>
          <w:szCs w:val="22"/>
        </w:rPr>
        <w:t xml:space="preserve">I am submitting this evidence in a personal capacity, not on behalf of any data centre developer, distribution network operator, vendor or other stakeholder. My evidence base is a direct, independent</w:t>
      </w:r>
      <w:r>
        <w:rPr>
          <w:rFonts w:ascii="Calibri" w:hAnsi="Calibri" w:eastAsia="Calibri" w:cs="Calibri"/>
          <w:sz w:val="22"/>
          <w:szCs w:val="22"/>
        </w:rPr>
        <w:t xml:space="preserve"> analysis of UK Power Networks’ own published open data</w:t>
      </w:r>
      <w:r>
        <w:rPr>
          <w:rFonts w:ascii="Calibri" w:hAnsi="Calibri" w:eastAsia="Calibri" w:cs="Calibri"/>
          <w:sz w:val="22"/>
          <w:szCs w:val="22"/>
          <w:lang w:val="en-GB"/>
        </w:rPr>
        <w:t xml:space="preserve">, </w:t>
      </w:r>
      <w:r>
        <w:rPr>
          <w:rFonts w:ascii="Calibri" w:hAnsi="Calibri" w:eastAsia="Calibri" w:cs="Calibri"/>
          <w:sz w:val="22"/>
          <w:szCs w:val="22"/>
        </w:rPr>
        <w:t xml:space="preserve">including a 96-site, 5.4-million-row half-hourly demand dataset</w:t>
      </w:r>
      <w:r>
        <w:rPr>
          <w:rFonts w:ascii="Calibri" w:hAnsi="Calibri" w:eastAsia="Calibri" w:cs="Calibri"/>
          <w:sz w:val="22"/>
          <w:szCs w:val="22"/>
          <w:lang w:val="en-GB"/>
        </w:rPr>
        <w:t xml:space="preserve">, </w:t>
      </w:r>
      <w:r>
        <w:rPr>
          <w:rFonts w:ascii="Calibri" w:hAnsi="Calibri" w:eastAsia="Calibri" w:cs="Calibri"/>
          <w:sz w:val="22"/>
          <w:szCs w:val="22"/>
        </w:rPr>
        <w:t xml:space="preserve">alongside close reading of Ofgem’s Curate consultation and related parliamentary and regulatory material, all cited by source below.</w:t>
      </w:r>
    </w:p>
    <w:p>
      <w:pPr>
        <w:pBdr/>
        <w:spacing w:after="140" w:line="252" w:lineRule="auto"/>
        <w:ind/>
        <w:rPr/>
      </w:pPr>
      <w:r>
        <w:rPr>
          <w:rFonts w:ascii="Calibri" w:hAnsi="Calibri" w:eastAsia="Calibri" w:cs="Calibri"/>
          <w:b/>
          <w:bCs/>
          <w:sz w:val="22"/>
          <w:szCs w:val="22"/>
        </w:rPr>
        <w:t xml:space="preserve">2. </w:t>
      </w:r>
      <w:r>
        <w:rPr>
          <w:rFonts w:ascii="Calibri" w:hAnsi="Calibri" w:eastAsia="Calibri" w:cs="Calibri"/>
          <w:sz w:val="22"/>
          <w:szCs w:val="22"/>
        </w:rPr>
        <w:t xml:space="preserve">Built while preparing a response to Ofgem’s parallel Curate consultation, this submission makes three priority recommendations: (a) extend Ofgem’s own capacity-reduction fee logic into an ongoing charge linked </w:t>
      </w:r>
      <w:r>
        <w:rPr>
          <w:rFonts w:ascii="Calibri" w:hAnsi="Calibri" w:eastAsia="Calibri" w:cs="Calibri"/>
          <w:sz w:val="22"/>
          <w:szCs w:val="22"/>
        </w:rPr>
        <w:t xml:space="preserve">to actual utilisation, since the evidence below shows most secured capacity sits unused most of the time; (b) require standardised disclosure of utilisation against secured capacity, without which neither policymakers nor the public can see whether any of </w:t>
      </w:r>
      <w:r>
        <w:rPr>
          <w:rFonts w:ascii="Calibri" w:hAnsi="Calibri" w:eastAsia="Calibri" w:cs="Calibri"/>
          <w:sz w:val="22"/>
          <w:szCs w:val="22"/>
        </w:rPr>
        <w:t xml:space="preserve">this is improving; and (c) establish an explicit coordination mechanism between Ofgem, NESO, DESNZ, local planning authorities and DSIT, whose separate assumptions about data centre demand, cooling and emissions do not currently reconcile with one another.</w:t>
      </w:r>
    </w:p>
    <w:p>
      <w:pPr>
        <w:pBdr/>
        <w:spacing w:after="120" w:before="240"/>
        <w:ind/>
        <w:rPr/>
      </w:pPr>
      <w:r>
        <w:rPr>
          <w:rFonts w:ascii="Calibri" w:hAnsi="Calibri" w:eastAsia="Calibri" w:cs="Calibri"/>
          <w:b/>
          <w:bCs/>
          <w:sz w:val="24"/>
          <w:szCs w:val="24"/>
        </w:rPr>
        <w:t xml:space="preserve">A1 — Principal energy and infrastructure barriers to data centre investment</w:t>
      </w:r>
    </w:p>
    <w:p>
      <w:pPr>
        <w:pBdr/>
        <w:spacing w:after="140" w:line="252" w:lineRule="auto"/>
        <w:ind/>
        <w:rPr/>
      </w:pPr>
      <w:r>
        <w:rPr>
          <w:rFonts w:ascii="Calibri" w:hAnsi="Calibri" w:eastAsia="Calibri" w:cs="Calibri"/>
          <w:b/>
          <w:bCs/>
          <w:sz w:val="22"/>
          <w:szCs w:val="22"/>
        </w:rPr>
        <w:t xml:space="preserve">3. </w:t>
      </w:r>
      <w:r>
        <w:rPr>
          <w:rFonts w:ascii="Calibri" w:hAnsi="Calibri" w:eastAsia="Calibri" w:cs="Calibri"/>
          <w:sz w:val="22"/>
          <w:szCs w:val="22"/>
        </w:rPr>
        <w:t xml:space="preserve">The clearest barrier is not a shortage of grid capacity but a shortage of </w:t>
      </w:r>
      <w:r>
        <w:rPr>
          <w:rFonts w:ascii="Calibri" w:hAnsi="Calibri" w:eastAsia="Calibri" w:cs="Calibri"/>
          <w:i/>
          <w:iCs/>
          <w:sz w:val="22"/>
          <w:szCs w:val="22"/>
        </w:rPr>
        <w:t xml:space="preserve">visibility</w:t>
      </w:r>
      <w:r>
        <w:rPr>
          <w:rFonts w:ascii="Calibri" w:hAnsi="Calibri" w:eastAsia="Calibri" w:cs="Calibri"/>
          <w:sz w:val="22"/>
          <w:szCs w:val="22"/>
        </w:rPr>
        <w:t xml:space="preserve"> into how much of the capacity already allocated is actually being used. Ofgem’s own consultation document states the total demand connections queue grew from roughly 41 GW to around </w:t>
      </w:r>
      <w:r>
        <w:rPr>
          <w:rFonts w:ascii="Calibri" w:hAnsi="Calibri" w:eastAsia="Calibri" w:cs="Calibri"/>
          <w:sz w:val="22"/>
          <w:szCs w:val="22"/>
        </w:rPr>
        <w:t xml:space="preserve">125 GW within about a year, with data centres accounting for approximately 73 GW of that [1]. (A separate Ofgem press release announcing the same consultation cited a broader “at least 80GWs” figure for data centres’ share of the queue; both figures are ge</w:t>
      </w:r>
      <w:r>
        <w:rPr>
          <w:rFonts w:ascii="Calibri" w:hAnsi="Calibri" w:eastAsia="Calibri" w:cs="Calibri"/>
          <w:sz w:val="22"/>
          <w:szCs w:val="22"/>
        </w:rPr>
        <w:t xml:space="preserve">nuine, from two different Ofgem documents, and I have not attempted to reconcile them — the analysis below does not depend on which is used.) Every new applicant now queues behind that backlog, whether or not the capacity ahead of them is genuinely needed.</w:t>
      </w:r>
    </w:p>
    <w:p>
      <w:pPr>
        <w:pBdr/>
        <w:spacing w:after="140" w:line="252" w:lineRule="auto"/>
        <w:ind/>
        <w:rPr/>
      </w:pPr>
      <w:r>
        <w:rPr>
          <w:rFonts w:ascii="Calibri" w:hAnsi="Calibri" w:eastAsia="Calibri" w:cs="Calibri"/>
          <w:b/>
          <w:bCs/>
          <w:sz w:val="22"/>
          <w:szCs w:val="22"/>
        </w:rPr>
        <w:t xml:space="preserve">4. </w:t>
      </w:r>
      <w:r>
        <w:rPr>
          <w:rFonts w:ascii="Calibri" w:hAnsi="Calibri" w:eastAsia="Calibri" w:cs="Calibri"/>
          <w:sz w:val="22"/>
          <w:szCs w:val="22"/>
        </w:rPr>
        <w:t xml:space="preserve">A second, more specific barrier is what I call the Transmission Network Use of System (TNUoS) “Dead Zone.” I modelled the one legitimate route developers have to reduce their network charges — stepping down a transmission-charging capacity </w:t>
      </w:r>
      <w:r>
        <w:rPr>
          <w:rFonts w:ascii="Calibri" w:hAnsi="Calibri" w:eastAsia="Calibri" w:cs="Calibri"/>
          <w:sz w:val="22"/>
          <w:szCs w:val="22"/>
        </w:rPr>
        <w:t xml:space="preserve">band — against two real connections: a 5 MW site and DataVita’s 40 MW DV1 facility. At both, the same wall appears: reaching the next band down means surrendering roughly half of contracted capacity outright [2]. This is not a marginal adjustment available</w:t>
      </w:r>
      <w:r>
        <w:rPr>
          <w:rFonts w:ascii="Calibri" w:hAnsi="Calibri" w:eastAsia="Calibri" w:cs="Calibri"/>
          <w:sz w:val="22"/>
          <w:szCs w:val="22"/>
        </w:rPr>
        <w:t xml:space="preserve"> to a developer managing costs; it is a capacity-surrender decision so large that, in practice, no rational developer takes it. The charging structure intended to reward efficient capacity use instead locks developers into whatever they originally secured.</w:t>
      </w:r>
    </w:p>
    <w:p>
      <w:pPr>
        <w:pBdr/>
        <w:spacing w:after="120" w:before="240"/>
        <w:ind/>
        <w:rPr/>
      </w:pPr>
      <w:r>
        <w:rPr>
          <w:rFonts w:ascii="Calibri" w:hAnsi="Calibri" w:eastAsia="Calibri" w:cs="Calibri"/>
          <w:b/>
          <w:bCs/>
          <w:sz w:val="24"/>
          <w:szCs w:val="24"/>
        </w:rPr>
        <w:t xml:space="preserve">A4 — Reforms to grid connections and wider energy policy</w:t>
      </w:r>
    </w:p>
    <w:p>
      <w:pPr>
        <w:pBdr/>
        <w:spacing w:after="140" w:line="252" w:lineRule="auto"/>
        <w:ind/>
        <w:rPr/>
      </w:pPr>
      <w:r>
        <w:rPr>
          <w:rFonts w:ascii="Calibri" w:hAnsi="Calibri" w:eastAsia="Calibri" w:cs="Calibri"/>
          <w:b/>
          <w:bCs/>
          <w:sz w:val="22"/>
          <w:szCs w:val="22"/>
        </w:rPr>
        <w:t xml:space="preserve">5. </w:t>
      </w:r>
      <w:r>
        <w:rPr>
          <w:rFonts w:ascii="Calibri" w:hAnsi="Calibri" w:eastAsia="Calibri" w:cs="Calibri"/>
          <w:sz w:val="22"/>
          <w:szCs w:val="22"/>
        </w:rPr>
        <w:t xml:space="preserve">I recommend Ofgem extend the logic already built into its Curate proposals. The draft commitment fee framework already penalises a developer who voluntarily </w:t>
      </w:r>
      <w:r>
        <w:rPr>
          <w:rFonts w:ascii="Calibri" w:hAnsi="Calibri" w:eastAsia="Calibri" w:cs="Calibri"/>
          <w:i/>
          <w:iCs/>
          <w:sz w:val="22"/>
          <w:szCs w:val="22"/>
        </w:rPr>
        <w:t xml:space="preserve">reduces</w:t>
      </w:r>
      <w:r>
        <w:rPr>
          <w:rFonts w:ascii="Calibri" w:hAnsi="Calibri" w:eastAsia="Calibri" w:cs="Calibri"/>
          <w:sz w:val="22"/>
          <w:szCs w:val="22"/>
        </w:rPr>
        <w:t xml:space="preserve"> contracted capacity, explicitly “to incentivise com</w:t>
      </w:r>
      <w:r>
        <w:rPr>
          <w:rFonts w:ascii="Calibri" w:hAnsi="Calibri" w:eastAsia="Calibri" w:cs="Calibri"/>
          <w:sz w:val="22"/>
          <w:szCs w:val="22"/>
        </w:rPr>
        <w:t xml:space="preserve">mitment towards contracted capacity” [3]. It does nothing about capacity that is secured once and then left unused indefinitely — which the evidence in paragraphs 7–8 below suggests is the median case, not the exception. An ongoing, utilisation-linked char</w:t>
      </w:r>
      <w:r>
        <w:rPr>
          <w:rFonts w:ascii="Calibri" w:hAnsi="Calibri" w:eastAsia="Calibri" w:cs="Calibri"/>
          <w:sz w:val="22"/>
          <w:szCs w:val="22"/>
        </w:rPr>
        <w:t xml:space="preserve">ge, phased in after a reasonable ramp period and adjustable for declared redundancy architecture (for example N+1 or 2N resilience design), would close that gap using a mechanism Ofgem has already accepted the principle of, rather than inventing a new one.</w:t>
      </w:r>
    </w:p>
    <w:p>
      <w:pPr>
        <w:pBdr/>
        <w:spacing w:after="120" w:before="240"/>
        <w:ind/>
        <w:rPr/>
      </w:pPr>
      <w:r>
        <w:rPr>
          <w:rFonts w:ascii="Calibri" w:hAnsi="Calibri" w:eastAsia="Calibri" w:cs="Calibri"/>
          <w:b/>
          <w:bCs/>
          <w:sz w:val="24"/>
          <w:szCs w:val="24"/>
        </w:rPr>
        <w:t xml:space="preserve">B3 — Coordinating national, devolved and local government with network operators, utilities and developers</w:t>
      </w:r>
    </w:p>
    <w:p>
      <w:pPr>
        <w:pBdr/>
        <w:spacing w:after="140" w:line="252" w:lineRule="auto"/>
        <w:ind/>
        <w:rPr/>
      </w:pPr>
      <w:r>
        <w:rPr>
          <w:rFonts w:ascii="Calibri" w:hAnsi="Calibri" w:eastAsia="Calibri" w:cs="Calibri"/>
          <w:b/>
          <w:bCs/>
          <w:sz w:val="22"/>
          <w:szCs w:val="22"/>
        </w:rPr>
        <w:t xml:space="preserve">6. </w:t>
      </w:r>
      <w:r>
        <w:rPr>
          <w:rFonts w:ascii="Calibri" w:hAnsi="Calibri" w:eastAsia="Calibri" w:cs="Calibri"/>
          <w:sz w:val="22"/>
          <w:szCs w:val="22"/>
        </w:rPr>
        <w:t xml:space="preserve">This is, in my assessment, the central structural problem underlying the whole sector, so I a</w:t>
      </w:r>
      <w:r>
        <w:rPr>
          <w:rFonts w:ascii="Calibri" w:hAnsi="Calibri" w:eastAsia="Calibri" w:cs="Calibri"/>
          <w:sz w:val="22"/>
          <w:szCs w:val="22"/>
        </w:rPr>
        <w:t xml:space="preserve">ddress it in full here and treat cross-cutting question D4 below as directly answered by the same evidence. Five different bodies each control one part of a single system, and none appears to track what the others are doing to the assumptions it relies on:</w:t>
      </w:r>
    </w:p>
    <w:p>
      <w:pPr>
        <w:pBdr/>
        <w:spacing w:after="140" w:line="252" w:lineRule="auto"/>
        <w:ind w:left="400"/>
        <w:rPr/>
      </w:pPr>
      <w:r>
        <w:rPr>
          <w:rFonts w:ascii="Calibri" w:hAnsi="Calibri" w:eastAsia="Calibri" w:cs="Calibri"/>
          <w:sz w:val="22"/>
          <w:szCs w:val="22"/>
        </w:rPr>
        <w:t xml:space="preserve">•  </w:t>
      </w:r>
      <w:r>
        <w:rPr>
          <w:rFonts w:ascii="Calibri" w:hAnsi="Calibri" w:eastAsia="Calibri" w:cs="Calibri"/>
          <w:b/>
          <w:bCs/>
          <w:sz w:val="22"/>
          <w:szCs w:val="22"/>
        </w:rPr>
        <w:t xml:space="preserve">Ofgem</w:t>
      </w:r>
      <w:r>
        <w:rPr>
          <w:rFonts w:ascii="Calibri" w:hAnsi="Calibri" w:eastAsia="Calibri" w:cs="Calibri"/>
          <w:sz w:val="22"/>
          <w:szCs w:val="22"/>
        </w:rPr>
        <w:t xml:space="preserve"> sets the connection charge, but — as the evidence below shows — has no visibility into how much of the capacity it charges for is actually used.</w:t>
      </w:r>
    </w:p>
    <w:p>
      <w:pPr>
        <w:pBdr/>
        <w:spacing w:after="140" w:line="252" w:lineRule="auto"/>
        <w:ind w:left="400"/>
        <w:rPr/>
      </w:pPr>
      <w:r>
        <w:rPr>
          <w:rFonts w:ascii="Calibri" w:hAnsi="Calibri" w:eastAsia="Calibri" w:cs="Calibri"/>
          <w:sz w:val="22"/>
          <w:szCs w:val="22"/>
        </w:rPr>
        <w:t xml:space="preserve">•  </w:t>
      </w:r>
      <w:r>
        <w:rPr>
          <w:rFonts w:ascii="Calibri" w:hAnsi="Calibri" w:eastAsia="Calibri" w:cs="Calibri"/>
          <w:b/>
          <w:bCs/>
          <w:sz w:val="22"/>
          <w:szCs w:val="22"/>
        </w:rPr>
        <w:t xml:space="preserve">NESO</w:t>
      </w:r>
      <w:r>
        <w:rPr>
          <w:rFonts w:ascii="Calibri" w:hAnsi="Calibri" w:eastAsia="Calibri" w:cs="Calibri"/>
          <w:sz w:val="22"/>
          <w:szCs w:val="22"/>
        </w:rPr>
        <w:t xml:space="preserve"> publishes the long-range demand forecast (its Future Energy Scenarios put data centre electricity demand at 30–71 TWh by 2050) but at</w:t>
      </w:r>
      <w:r>
        <w:rPr>
          <w:rFonts w:ascii="Calibri" w:hAnsi="Calibri" w:eastAsia="Calibri" w:cs="Calibri"/>
          <w:sz w:val="22"/>
          <w:szCs w:val="22"/>
        </w:rPr>
        <w:t xml:space="preserve">tributes the entire range to “how many data centres will be built in the UK, compared to other competitive global markets” [4]. Climate change, heatwave frequency and cooling-mode switching do not appear anywhere in that stated list of uncertainty drivers.</w:t>
      </w:r>
    </w:p>
    <w:p>
      <w:pPr>
        <w:pBdr/>
        <w:spacing w:after="140" w:line="252" w:lineRule="auto"/>
        <w:ind w:left="400"/>
        <w:rPr/>
      </w:pPr>
      <w:r>
        <w:rPr>
          <w:rFonts w:ascii="Calibri" w:hAnsi="Calibri" w:eastAsia="Calibri" w:cs="Calibri"/>
          <w:sz w:val="22"/>
          <w:szCs w:val="22"/>
        </w:rPr>
        <w:t xml:space="preserve">•  </w:t>
      </w:r>
      <w:r>
        <w:rPr>
          <w:rFonts w:ascii="Calibri" w:hAnsi="Calibri" w:eastAsia="Calibri" w:cs="Calibri"/>
          <w:b/>
          <w:bCs/>
          <w:sz w:val="22"/>
          <w:szCs w:val="22"/>
        </w:rPr>
        <w:t xml:space="preserve">Local planning authorities</w:t>
      </w:r>
      <w:r>
        <w:rPr>
          <w:rFonts w:ascii="Calibri" w:hAnsi="Calibri" w:eastAsia="Calibri" w:cs="Calibri"/>
          <w:sz w:val="22"/>
          <w:szCs w:val="22"/>
        </w:rPr>
        <w:t xml:space="preserve"> decide, site by site, whether a data centre cools with water or air — a choice that materially changes its electricity draw, particularly in hot weather. Even “closed-loop” systems, now standard for AI compute, do no</w:t>
      </w:r>
      <w:r>
        <w:rPr>
          <w:rFonts w:ascii="Calibri" w:hAnsi="Calibri" w:eastAsia="Calibri" w:cs="Calibri"/>
          <w:sz w:val="22"/>
          <w:szCs w:val="22"/>
        </w:rPr>
        <w:t xml:space="preserve">t remove that choice: they draw on water for evaporative assist once temperature rises, trading water for a lower electricity draw — a genuine trade-off, quantified in two peer-reviewed studies [14][15], not yet reflected in NESO’s forecasting assumptions.</w:t>
      </w:r>
    </w:p>
    <w:p>
      <w:pPr>
        <w:pBdr/>
        <w:spacing w:after="140" w:line="252" w:lineRule="auto"/>
        <w:ind w:left="400"/>
        <w:rPr/>
      </w:pPr>
      <w:r>
        <w:rPr>
          <w:rFonts w:ascii="Calibri" w:hAnsi="Calibri" w:eastAsia="Calibri" w:cs="Calibri"/>
          <w:sz w:val="22"/>
          <w:szCs w:val="22"/>
        </w:rPr>
        <w:t xml:space="preserve">•  </w:t>
      </w:r>
      <w:r>
        <w:rPr>
          <w:rFonts w:ascii="Calibri" w:hAnsi="Calibri" w:eastAsia="Calibri" w:cs="Calibri"/>
          <w:b/>
          <w:bCs/>
          <w:sz w:val="22"/>
          <w:szCs w:val="22"/>
        </w:rPr>
        <w:t xml:space="preserve">DESNZ and DSIT</w:t>
      </w:r>
      <w:r>
        <w:rPr>
          <w:rFonts w:ascii="Calibri" w:hAnsi="Calibri" w:eastAsia="Calibri" w:cs="Calibri"/>
          <w:sz w:val="22"/>
          <w:szCs w:val="22"/>
        </w:rPr>
        <w:t xml:space="preserve"> set the AI growth ambition driving demand into the queue in the first place. DSIT’s own Compute Evidence Annex (July 2025) projected AI compute capacity of 11.2 GW by 2035 alongside emissions of just 0.025–0.142 MtCO</w:t>
      </w:r>
      <w:r>
        <w:rPr>
          <w:rFonts w:ascii="Calibri" w:hAnsi="Calibri" w:eastAsia="Calibri" w:cs="Calibri"/>
          <w:sz w:val="22"/>
          <w:szCs w:val="22"/>
          <w:vertAlign w:val="subscript"/>
        </w:rPr>
        <w:t xml:space="preserve">2</w:t>
      </w:r>
      <w:r>
        <w:rPr>
          <w:rFonts w:ascii="Calibri" w:hAnsi="Calibri" w:eastAsia="Calibri" w:cs="Calibri"/>
          <w:sz w:val="22"/>
          <w:szCs w:val="22"/>
        </w:rPr>
        <w:t xml:space="preserve"> over the same period. Independent analysis found this could not be right; by April 2026 the government’s own revised figure was 34–123 MtCO</w:t>
      </w:r>
      <w:r>
        <w:rPr>
          <w:rFonts w:ascii="Calibri" w:hAnsi="Calibri" w:eastAsia="Calibri" w:cs="Calibri"/>
          <w:sz w:val="22"/>
          <w:szCs w:val="22"/>
          <w:vertAlign w:val="subscript"/>
        </w:rPr>
        <w:t xml:space="preserve">2</w:t>
      </w:r>
      <w:r>
        <w:rPr>
          <w:rFonts w:ascii="Calibri" w:hAnsi="Calibri" w:eastAsia="Calibri" w:cs="Calibri"/>
          <w:sz w:val="22"/>
          <w:szCs w:val="22"/>
        </w:rPr>
        <w:t xml:space="preserve"> cumulative over ten years — a correction of roughly three orders of magnitude (a factor of roughly 900 to 1,400, depending on which end of each range is compared) to its own flagship growth strategy’s emissions math [7]. The</w:t>
      </w:r>
      <w:r>
        <w:rPr>
          <w:rFonts w:ascii="Calibri" w:hAnsi="Calibri" w:eastAsia="Calibri" w:cs="Calibri"/>
          <w:sz w:val="22"/>
          <w:szCs w:val="22"/>
        </w:rPr>
        <w:t xml:space="preserve"> government’s response was that the original figure “was intended to inform policy development rather than represent a final cross-government view” [7] — in other words, no one had checked it against the rest of government’s own numbers before publication.</w:t>
      </w:r>
    </w:p>
    <w:p>
      <w:pPr>
        <w:pBdr/>
        <w:spacing w:after="140" w:line="252" w:lineRule="auto"/>
        <w:ind/>
        <w:rPr/>
      </w:pPr>
      <w:r>
        <w:rPr>
          <w:rFonts w:ascii="Calibri" w:hAnsi="Calibri" w:eastAsia="Calibri" w:cs="Calibri"/>
          <w:b/>
          <w:bCs/>
          <w:sz w:val="22"/>
          <w:szCs w:val="22"/>
        </w:rPr>
        <w:t xml:space="preserve">7. </w:t>
      </w:r>
      <w:r>
        <w:rPr>
          <w:rFonts w:ascii="Calibri" w:hAnsi="Calibri" w:eastAsia="Calibri" w:cs="Calibri"/>
          <w:sz w:val="22"/>
          <w:szCs w:val="22"/>
        </w:rPr>
        <w:t xml:space="preserve">Ofgem’s own Cl</w:t>
      </w:r>
      <w:r>
        <w:rPr>
          <w:rFonts w:ascii="Calibri" w:hAnsi="Calibri" w:eastAsia="Calibri" w:cs="Calibri"/>
          <w:sz w:val="22"/>
          <w:szCs w:val="22"/>
        </w:rPr>
        <w:t xml:space="preserve">imate Resilience Report already names the general shape of this problem, stating that “clarity is required on overall resilience across key infrastructure and how regulators work together” [8]. Parliament’s own Data Centres inquiry has recorded the local-p</w:t>
      </w:r>
      <w:r>
        <w:rPr>
          <w:rFonts w:ascii="Calibri" w:hAnsi="Calibri" w:eastAsia="Calibri" w:cs="Calibri"/>
          <w:sz w:val="22"/>
          <w:szCs w:val="22"/>
        </w:rPr>
        <w:t xml:space="preserve">lanning piece of that gap directly: Water UK’s written evidence states plainly that the government’s AI Opportunities Action Plan “makes not a single mention of water” [5], and Energy UK’s evidence notes “a lack of alignment in the timescales for securing </w:t>
      </w:r>
      <w:r>
        <w:rPr>
          <w:rFonts w:ascii="Calibri" w:hAnsi="Calibri" w:eastAsia="Calibri" w:cs="Calibri"/>
          <w:sz w:val="22"/>
          <w:szCs w:val="22"/>
        </w:rPr>
        <w:t xml:space="preserve">all of the requirements necessary for a new development” across electricity, water and planning consents [6]. What the evidence above adds is a concrete instance: five bodies, each doing its own job competently in isolation, none holding the whole picture.</w:t>
      </w:r>
    </w:p>
    <w:p>
      <w:pPr>
        <w:pBdr/>
        <w:spacing w:after="120" w:before="240"/>
        <w:ind/>
        <w:rPr/>
      </w:pPr>
      <w:r>
        <w:rPr>
          <w:rFonts w:ascii="Calibri" w:hAnsi="Calibri" w:eastAsia="Calibri" w:cs="Calibri"/>
          <w:b/>
          <w:bCs/>
          <w:sz w:val="24"/>
          <w:szCs w:val="24"/>
        </w:rPr>
        <w:t xml:space="preserve">D4 — Are responsibilities across government, regulators and network operators sufficiently clear and coordinated?</w:t>
      </w:r>
    </w:p>
    <w:p>
      <w:pPr>
        <w:pBdr/>
        <w:spacing w:after="140" w:line="252" w:lineRule="auto"/>
        <w:ind/>
        <w:rPr/>
      </w:pPr>
      <w:r>
        <w:rPr>
          <w:rFonts w:ascii="Calibri" w:hAnsi="Calibri" w:eastAsia="Calibri" w:cs="Calibri"/>
          <w:b/>
          <w:bCs/>
          <w:sz w:val="22"/>
          <w:szCs w:val="22"/>
        </w:rPr>
        <w:t xml:space="preserve">8. </w:t>
      </w:r>
      <w:r>
        <w:rPr>
          <w:rFonts w:ascii="Calibri" w:hAnsi="Calibri" w:eastAsia="Calibri" w:cs="Calibri"/>
          <w:sz w:val="22"/>
          <w:szCs w:val="22"/>
        </w:rPr>
        <w:t xml:space="preserve">No — for the reasons set out in full under B3 above. In short: the gap is not that any one body is failing at its own remit, but that each treats the others’ assumptions as fixed inputs rather than shared unknowns.</w:t>
      </w:r>
    </w:p>
    <w:p>
      <w:pPr>
        <w:pBdr/>
        <w:spacing w:after="120" w:before="240"/>
        <w:ind/>
        <w:rPr/>
      </w:pPr>
      <w:r>
        <w:rPr>
          <w:rFonts w:ascii="Calibri" w:hAnsi="Calibri" w:eastAsia="Calibri" w:cs="Calibri"/>
          <w:b/>
          <w:bCs/>
          <w:sz w:val="24"/>
          <w:szCs w:val="24"/>
        </w:rPr>
        <w:t xml:space="preserve">B5 — Factors affecting commercial viability and investibility</w:t>
      </w:r>
    </w:p>
    <w:p>
      <w:pPr>
        <w:pBdr/>
        <w:spacing w:after="140" w:line="252" w:lineRule="auto"/>
        <w:ind/>
        <w:rPr/>
      </w:pPr>
      <w:r>
        <w:rPr>
          <w:rFonts w:ascii="Calibri" w:hAnsi="Calibri" w:eastAsia="Calibri" w:cs="Calibri"/>
          <w:b/>
          <w:bCs/>
          <w:sz w:val="22"/>
          <w:szCs w:val="22"/>
        </w:rPr>
        <w:t xml:space="preserve">9. </w:t>
      </w:r>
      <w:r>
        <w:rPr>
          <w:rFonts w:ascii="Calibri" w:hAnsi="Calibri" w:eastAsia="Calibri" w:cs="Calibri"/>
          <w:sz w:val="22"/>
          <w:szCs w:val="22"/>
        </w:rPr>
        <w:t xml:space="preserve">Curate’s propo</w:t>
      </w:r>
      <w:r>
        <w:rPr>
          <w:rFonts w:ascii="Calibri" w:hAnsi="Calibri" w:eastAsia="Calibri" w:cs="Calibri"/>
          <w:sz w:val="22"/>
          <w:szCs w:val="22"/>
        </w:rPr>
        <w:t xml:space="preserve">sed commitment fee (2.5–7.5% of capex, £237,500–£712,500 per MW for connections at or above 40 MW) risks favouring large balance sheets over project quality. At the fee’s own proposed range, a 50 MW developer would need to secure £11.9 million to £35.6 mil</w:t>
      </w:r>
      <w:r>
        <w:rPr>
          <w:rFonts w:ascii="Calibri" w:hAnsi="Calibri" w:eastAsia="Calibri" w:cs="Calibri"/>
          <w:sz w:val="22"/>
          <w:szCs w:val="22"/>
        </w:rPr>
        <w:t xml:space="preserve">lion in escrow or letters of credit, held from offer acceptance through to energisation — a period that can run to a decade given typical transmission lead times [9]. That is a rounding error against a hyperscale balance sheet; for a smaller, independent d</w:t>
      </w:r>
      <w:r>
        <w:rPr>
          <w:rFonts w:ascii="Calibri" w:hAnsi="Calibri" w:eastAsia="Calibri" w:cs="Calibri"/>
          <w:sz w:val="22"/>
          <w:szCs w:val="22"/>
        </w:rPr>
        <w:t xml:space="preserve">eveloper, it is capital that could otherwise finance the project itself. Frontier Economics has made the same point independently: “the proposed fee tests access to a large balance sheet as much as the quality of the underlying project” [10]. Industry comm</w:t>
      </w:r>
      <w:r>
        <w:rPr>
          <w:rFonts w:ascii="Calibri" w:hAnsi="Calibri" w:eastAsia="Calibri" w:cs="Calibri"/>
          <w:sz w:val="22"/>
          <w:szCs w:val="22"/>
        </w:rPr>
        <w:t xml:space="preserve">entator Nick Curum put it more bluntly: “A hyperscaler can carry 7.5%. A 20 MW independent cannot” [11]. Any final fee design should be tested explicitly against this risk, not just against its effectiveness at deterring speculative applications generally.</w:t>
      </w:r>
    </w:p>
    <w:p>
      <w:pPr>
        <w:pBdr/>
        <w:spacing w:after="120" w:before="240"/>
        <w:ind/>
        <w:rPr/>
      </w:pPr>
      <w:r>
        <w:rPr>
          <w:rFonts w:ascii="Calibri" w:hAnsi="Calibri" w:eastAsia="Calibri" w:cs="Calibri"/>
          <w:b/>
          <w:bCs/>
          <w:sz w:val="24"/>
          <w:szCs w:val="24"/>
        </w:rPr>
        <w:t xml:space="preserve">D5 — Which policy interventions would most effectively support investment and sustainable development</w:t>
      </w:r>
    </w:p>
    <w:p>
      <w:pPr>
        <w:pBdr/>
        <w:spacing w:after="140" w:line="252" w:lineRule="auto"/>
        <w:ind/>
        <w:rPr/>
      </w:pPr>
      <w:r>
        <w:rPr>
          <w:rFonts w:ascii="Calibri" w:hAnsi="Calibri" w:eastAsia="Calibri" w:cs="Calibri"/>
          <w:b/>
          <w:bCs/>
          <w:sz w:val="22"/>
          <w:szCs w:val="22"/>
        </w:rPr>
        <w:t xml:space="preserve">10. </w:t>
      </w:r>
      <w:r>
        <w:rPr>
          <w:rFonts w:ascii="Calibri" w:hAnsi="Calibri" w:eastAsia="Calibri" w:cs="Calibri"/>
          <w:sz w:val="22"/>
          <w:szCs w:val="22"/>
        </w:rPr>
        <w:t xml:space="preserve">The single most effective intervention available is the one described in paragraph 5 above: extending Ofgem’s existing cap</w:t>
      </w:r>
      <w:r>
        <w:rPr>
          <w:rFonts w:ascii="Calibri" w:hAnsi="Calibri" w:eastAsia="Calibri" w:cs="Calibri"/>
          <w:sz w:val="22"/>
          <w:szCs w:val="22"/>
        </w:rPr>
        <w:t xml:space="preserve">acity-reduction fee logic into an ongoing utilisation-linked charge. It uses a mechanism and a rationale Ofgem has already committed to in Curate, closes the gap that mechanism currently leaves open, and does not require inventing new regulatory machinery.</w:t>
      </w:r>
    </w:p>
    <w:p>
      <w:pPr>
        <w:pBdr/>
        <w:spacing w:after="120" w:before="240"/>
        <w:ind/>
        <w:rPr/>
      </w:pPr>
      <w:r>
        <w:rPr>
          <w:rFonts w:ascii="Calibri" w:hAnsi="Calibri" w:eastAsia="Calibri" w:cs="Calibri"/>
          <w:b/>
          <w:bCs/>
          <w:sz w:val="24"/>
          <w:szCs w:val="24"/>
        </w:rPr>
        <w:t xml:space="preserve">D6 — Priority interventions, ranked, with responsibility, timescale and success measure</w:t>
      </w:r>
    </w:p>
    <w:p>
      <w:pPr>
        <w:pBdr/>
        <w:spacing w:after="140" w:line="252" w:lineRule="auto"/>
        <w:ind/>
        <w:rPr/>
      </w:pPr>
      <w:r>
        <w:rPr>
          <w:rFonts w:ascii="Calibri" w:hAnsi="Calibri" w:eastAsia="Calibri" w:cs="Calibri"/>
          <w:b/>
          <w:bCs/>
          <w:sz w:val="22"/>
          <w:szCs w:val="22"/>
        </w:rPr>
        <w:t xml:space="preserve">11. </w:t>
      </w:r>
      <w:r>
        <w:rPr>
          <w:rFonts w:ascii="Calibri" w:hAnsi="Calibri" w:eastAsia="Calibri" w:cs="Calibri"/>
          <w:sz w:val="22"/>
          <w:szCs w:val="22"/>
        </w:rPr>
        <w:t xml:space="preserve">In priority order:</w:t>
      </w:r>
    </w:p>
    <w:p>
      <w:pPr>
        <w:pBdr/>
        <w:spacing w:after="140" w:line="252" w:lineRule="auto"/>
        <w:ind w:left="400"/>
        <w:rPr/>
      </w:pPr>
      <w:r>
        <w:rPr>
          <w:rFonts w:ascii="Calibri" w:hAnsi="Calibri" w:eastAsia="Calibri" w:cs="Calibri"/>
          <w:b/>
          <w:bCs/>
          <w:sz w:val="22"/>
          <w:szCs w:val="22"/>
        </w:rPr>
        <w:t xml:space="preserve">(i) An ongoing utilisation-linked charge</w:t>
      </w:r>
      <w:r>
        <w:rPr>
          <w:rFonts w:ascii="Calibri" w:hAnsi="Calibri" w:eastAsia="Calibri" w:cs="Calibri"/>
          <w:sz w:val="22"/>
          <w:szCs w:val="22"/>
        </w:rPr>
        <w:t xml:space="preserve">, extending Ofgem’s existing capacity-reduction fee logic and designed from the outset with the ramp-period and redundancy safeguards set out in (iv) below (paragraph 5</w:t>
      </w:r>
      <w:r>
        <w:rPr>
          <w:rFonts w:ascii="Calibri" w:hAnsi="Calibri" w:eastAsia="Calibri" w:cs="Calibri"/>
          <w:sz w:val="22"/>
          <w:szCs w:val="22"/>
        </w:rPr>
        <w:t xml:space="preserve">). Responsibility: Ofgem, alongside Curate’s implementation. Timescale: short-to-medium term. Success measure: rising median utilisation of secured capacity over time, particularly at Extra-High Voltage connections, where utilisation currently runs lowest.</w:t>
      </w:r>
    </w:p>
    <w:p>
      <w:pPr>
        <w:pBdr/>
        <w:spacing w:after="140" w:line="252" w:lineRule="auto"/>
        <w:ind w:left="400"/>
        <w:rPr/>
      </w:pPr>
      <w:r>
        <w:rPr>
          <w:rFonts w:ascii="Calibri" w:hAnsi="Calibri" w:eastAsia="Calibri" w:cs="Calibri"/>
          <w:b/>
          <w:bCs/>
          <w:sz w:val="22"/>
          <w:szCs w:val="22"/>
        </w:rPr>
        <w:t xml:space="preserve">(ii) Standardised utilisation disclosure.</w:t>
      </w:r>
      <w:r>
        <w:rPr>
          <w:rFonts w:ascii="Calibri" w:hAnsi="Calibri" w:eastAsia="Calibri" w:cs="Calibri"/>
          <w:sz w:val="22"/>
          <w:szCs w:val="22"/>
        </w:rPr>
        <w:t xml:space="preserve"> Distribution network operators already collect the half-hourly data needed to measure this — UK P</w:t>
      </w:r>
      <w:r>
        <w:rPr>
          <w:rFonts w:ascii="Calibri" w:hAnsi="Calibri" w:eastAsia="Calibri" w:cs="Calibri"/>
          <w:sz w:val="22"/>
          <w:szCs w:val="22"/>
        </w:rPr>
        <w:t xml:space="preserve">ower Networks’ own open dataset is the evidence base for this submission. Responsibility: Ofgem, working with DNOs. Timescale: short term; the data already exists. Success measure: published, comparable utilisation figures by voltage tier and licence area.</w:t>
      </w:r>
    </w:p>
    <w:p>
      <w:pPr>
        <w:pBdr/>
        <w:spacing w:after="140" w:line="252" w:lineRule="auto"/>
        <w:ind w:left="400"/>
        <w:rPr/>
      </w:pPr>
      <w:r>
        <w:rPr>
          <w:rFonts w:ascii="Calibri" w:hAnsi="Calibri" w:eastAsia="Calibri" w:cs="Calibri"/>
          <w:b/>
          <w:bCs/>
          <w:sz w:val="22"/>
          <w:szCs w:val="22"/>
        </w:rPr>
        <w:t xml:space="preserve">(iii) A named, cross-body coordination mechanism</w:t>
      </w:r>
      <w:r>
        <w:rPr>
          <w:rFonts w:ascii="Calibri" w:hAnsi="Calibri" w:eastAsia="Calibri" w:cs="Calibri"/>
          <w:sz w:val="22"/>
          <w:szCs w:val="22"/>
        </w:rPr>
        <w:t xml:space="preserve"> between Ofgem, NESO, DESNZ, local planning authorities and DSIT, so that each body’s demand, cooling and emissions assumptions are reconciled ra</w:t>
      </w:r>
      <w:r>
        <w:rPr>
          <w:rFonts w:ascii="Calibri" w:hAnsi="Calibri" w:eastAsia="Calibri" w:cs="Calibri"/>
          <w:sz w:val="22"/>
          <w:szCs w:val="22"/>
        </w:rPr>
        <w:t xml:space="preserve">ther than independently set (paragraphs 6–8). Responsibility: most naturally convened by DESNZ, given its cross-cutting growth remit. Timescale: medium term. Success measure: a jointly published methodology showing how each body’s figures feed the others’.</w:t>
      </w:r>
    </w:p>
    <w:p>
      <w:pPr>
        <w:pBdr/>
        <w:spacing w:after="140" w:line="252" w:lineRule="auto"/>
        <w:ind w:left="400"/>
        <w:rPr/>
      </w:pPr>
      <w:r>
        <w:rPr>
          <w:rFonts w:ascii="Calibri" w:hAnsi="Calibri" w:eastAsia="Calibri" w:cs="Calibri"/>
          <w:b/>
          <w:bCs/>
          <w:sz w:val="22"/>
          <w:szCs w:val="22"/>
        </w:rPr>
        <w:t xml:space="preserve">(iv) Ramp-period and redundancy safeguards</w:t>
      </w:r>
      <w:r>
        <w:rPr>
          <w:rFonts w:ascii="Calibri" w:hAnsi="Calibri" w:eastAsia="Calibri" w:cs="Calibri"/>
          <w:sz w:val="22"/>
          <w:szCs w:val="22"/>
        </w:rPr>
        <w:t xml:space="preserve"> — a design condition of (i) above, not a separate intervention in its own right — so that genuine phased build-out and declared resilience architecture are not penalised as if they were speculative</w:t>
      </w:r>
      <w:r>
        <w:rPr>
          <w:rFonts w:ascii="Calibri" w:hAnsi="Calibri" w:eastAsia="Calibri" w:cs="Calibri"/>
          <w:sz w:val="22"/>
          <w:szCs w:val="22"/>
        </w:rPr>
        <w:t xml:space="preserve"> over-booking (paragraph 5). Responsibility: Ofgem, as part of the same reform. Timescale: alongside intervention (i). Success measure: no material increase in disputes or appeals against the charge from developers with genuine redundancy or phasing plans.</w:t>
      </w:r>
    </w:p>
    <w:p>
      <w:pPr>
        <w:pBdr/>
        <w:spacing w:after="140" w:line="252" w:lineRule="auto"/>
        <w:ind/>
        <w:rPr/>
      </w:pPr>
      <w:r>
        <w:rPr>
          <w:rFonts w:ascii="Calibri" w:hAnsi="Calibri" w:eastAsia="Calibri" w:cs="Calibri"/>
          <w:sz w:val="22"/>
          <w:szCs w:val="22"/>
        </w:rPr>
        <w:t xml:space="preserve">Beyond this ranked list, one further idea is</w:t>
      </w:r>
      <w:r>
        <w:rPr>
          <w:rFonts w:ascii="Calibri" w:hAnsi="Calibri" w:eastAsia="Calibri" w:cs="Calibri"/>
          <w:sz w:val="22"/>
          <w:szCs w:val="22"/>
        </w:rPr>
        <w:t xml:space="preserve"> worth flagging for consideration rather than as a firm recommendation: a capacity-release or capacity-sharing fee discount, allowing developers to voluntarily release unused secured capacity back to the network in exchange for a reduced fee. I have found </w:t>
      </w:r>
      <w:r>
        <w:rPr>
          <w:rFonts w:ascii="Calibri" w:hAnsi="Calibri" w:eastAsia="Calibri" w:cs="Calibri"/>
          <w:sz w:val="22"/>
          <w:szCs w:val="22"/>
        </w:rPr>
        <w:t xml:space="preserve">no precedent for this mechanism in current GB connections-reform material, and it would need further work — particularly on whether secured connection capacity can be subdivided or reallocated to a third party at all — before it could be assessed properly.</w:t>
      </w:r>
    </w:p>
    <w:p>
      <w:pPr>
        <w:pBdr/>
        <w:spacing w:after="120" w:before="240"/>
        <w:ind/>
        <w:rPr/>
      </w:pPr>
      <w:r>
        <w:rPr>
          <w:rFonts w:ascii="Calibri" w:hAnsi="Calibri" w:eastAsia="Calibri" w:cs="Calibri"/>
          <w:b/>
          <w:bCs/>
          <w:sz w:val="24"/>
          <w:szCs w:val="24"/>
        </w:rPr>
        <w:t xml:space="preserve">D7 — What evidence or data is currently missing or insufficient for effective policymaking</w:t>
      </w:r>
    </w:p>
    <w:p>
      <w:pPr>
        <w:pBdr/>
        <w:spacing w:after="140" w:line="252" w:lineRule="auto"/>
        <w:ind/>
        <w:rPr/>
      </w:pPr>
      <w:r>
        <w:rPr>
          <w:rFonts w:ascii="Calibri" w:hAnsi="Calibri" w:eastAsia="Calibri" w:cs="Calibri"/>
          <w:b/>
          <w:bCs/>
          <w:sz w:val="22"/>
          <w:szCs w:val="22"/>
        </w:rPr>
        <w:t xml:space="preserve">12. </w:t>
      </w:r>
      <w:r>
        <w:rPr>
          <w:rFonts w:ascii="Calibri" w:hAnsi="Calibri" w:eastAsia="Calibri" w:cs="Calibri"/>
          <w:sz w:val="22"/>
          <w:szCs w:val="22"/>
        </w:rPr>
        <w:t xml:space="preserve">Four s</w:t>
      </w:r>
      <w:r>
        <w:rPr>
          <w:rFonts w:ascii="Calibri" w:hAnsi="Calibri" w:eastAsia="Calibri" w:cs="Calibri"/>
          <w:sz w:val="22"/>
          <w:szCs w:val="22"/>
        </w:rPr>
        <w:t xml:space="preserve">pecific gaps, each evidenced above: first, NESO’s long-range demand forecast does not name climate change, heatwave frequency or cooling-mode switching among its stated uncertainty drivers, despite local planning decisions actively changing data centre pow</w:t>
      </w:r>
      <w:r>
        <w:rPr>
          <w:rFonts w:ascii="Calibri" w:hAnsi="Calibri" w:eastAsia="Calibri" w:cs="Calibri"/>
          <w:sz w:val="22"/>
          <w:szCs w:val="22"/>
        </w:rPr>
        <w:t xml:space="preserve">er draw along exactly that dimension (paragraph 6). Second, DSIT’s own compute-emissions projection was wrong by roughly three orders of magnitude and was only caught by independent, outside analysis rather than internal government reconciliation (paragrap</w:t>
      </w:r>
      <w:r>
        <w:rPr>
          <w:rFonts w:ascii="Calibri" w:hAnsi="Calibri" w:eastAsia="Calibri" w:cs="Calibri"/>
          <w:sz w:val="22"/>
          <w:szCs w:val="22"/>
        </w:rPr>
        <w:t xml:space="preserve">h 6). Third, there is no published, standardised view of how much secured grid capacity is actually used once connected — the analysis in this submission had to be built by combining two separate open-data releases from a single distribution network operat</w:t>
      </w:r>
      <w:r>
        <w:rPr>
          <w:rFonts w:ascii="Calibri" w:hAnsi="Calibri" w:eastAsia="Calibri" w:cs="Calibri"/>
          <w:sz w:val="22"/>
          <w:szCs w:val="22"/>
        </w:rPr>
        <w:t xml:space="preserve">or, because no equivalent data is published at a national or cross-DNO level. Fourth, even the underlying pipeline data is hard to verify over time: when I asked one distribution network operator to confirm an apparent 40% six-month increase in its own pub</w:t>
      </w:r>
      <w:r>
        <w:rPr>
          <w:rFonts w:ascii="Calibri" w:hAnsi="Calibri" w:eastAsia="Calibri" w:cs="Calibri"/>
          <w:sz w:val="22"/>
          <w:szCs w:val="22"/>
        </w:rPr>
        <w:t xml:space="preserve">lished pipeline capacity figure, it confirmed the growth was genuine but also that it holds no historical snapshots of its own to check trends like this directly, and that connection dates cannot be shared under section 105 of the Utilities Act 2000 [16]. </w:t>
      </w:r>
      <w:r>
        <w:rPr>
          <w:rFonts w:ascii="Calibri" w:hAnsi="Calibri" w:eastAsia="Calibri" w:cs="Calibri"/>
          <w:sz w:val="22"/>
          <w:szCs w:val="22"/>
        </w:rPr>
        <w:t xml:space="preserve">If the body publishing the data cannot itself verify a trend without an outside comparison, and statute constrains what it can publish besides, neither policymakers nor developers have a reliable, ongoing view of how fast this pipeline is actually growing.</w:t>
      </w:r>
    </w:p>
    <w:p>
      <w:pPr>
        <w:pBdr/>
        <w:spacing w:after="120" w:before="240"/>
        <w:ind/>
        <w:rPr/>
      </w:pPr>
      <w:r>
        <w:rPr>
          <w:rFonts w:ascii="Calibri" w:hAnsi="Calibri" w:eastAsia="Calibri" w:cs="Calibri"/>
          <w:b/>
          <w:bCs/>
          <w:sz w:val="24"/>
          <w:szCs w:val="24"/>
        </w:rPr>
        <w:t xml:space="preserve">D8 — Risks, trade-offs and unintended consequences the APPG should consider</w:t>
      </w:r>
    </w:p>
    <w:p>
      <w:pPr>
        <w:pBdr/>
        <w:spacing w:after="140" w:line="252" w:lineRule="auto"/>
        <w:ind/>
        <w:rPr/>
      </w:pPr>
      <w:r>
        <w:rPr>
          <w:rFonts w:ascii="Calibri" w:hAnsi="Calibri" w:eastAsia="Calibri" w:cs="Calibri"/>
          <w:b/>
          <w:bCs/>
          <w:sz w:val="22"/>
          <w:szCs w:val="22"/>
        </w:rPr>
        <w:t xml:space="preserve">13. </w:t>
      </w:r>
      <w:r>
        <w:rPr>
          <w:rFonts w:ascii="Calibri" w:hAnsi="Calibri" w:eastAsia="Calibri" w:cs="Calibri"/>
          <w:sz w:val="22"/>
          <w:szCs w:val="22"/>
        </w:rPr>
        <w:t xml:space="preserve">Two risks follow directly from the evidence above. First, a flat capacity-based commitment fee, as currently proposed under Curate, risks filtering applicants by balance-sheet size rather tha</w:t>
      </w:r>
      <w:r>
        <w:rPr>
          <w:rFonts w:ascii="Calibri" w:hAnsi="Calibri" w:eastAsia="Calibri" w:cs="Calibri"/>
          <w:sz w:val="22"/>
          <w:szCs w:val="22"/>
        </w:rPr>
        <w:t xml:space="preserve">n by genuine project viability (paragraph 9) — a design choice that could disadvantage smaller, non-hyperscale developers while barely registering for the largest ones. Second, an ongoing utilisation-linked charge, if introduced without the safeguards desc</w:t>
      </w:r>
      <w:r>
        <w:rPr>
          <w:rFonts w:ascii="Calibri" w:hAnsi="Calibri" w:eastAsia="Calibri" w:cs="Calibri"/>
          <w:sz w:val="22"/>
          <w:szCs w:val="22"/>
        </w:rPr>
        <w:t xml:space="preserve">ribed in paragraph 11 (intervention (iv)), risks penalising legitimate redundancy design and phased build-out as if they were speculative over-booking. Both risks are manageable with careful design; neither is a reason to leave the current gap unaddressed.</w:t>
      </w:r>
    </w:p>
    <w:p>
      <w:pPr>
        <w:pBdr/>
        <w:spacing w:after="120" w:before="240"/>
        <w:ind/>
        <w:rPr/>
      </w:pPr>
      <w:r>
        <w:rPr>
          <w:rFonts w:ascii="Calibri" w:hAnsi="Calibri" w:eastAsia="Calibri" w:cs="Calibri"/>
          <w:b/>
          <w:bCs/>
          <w:sz w:val="24"/>
          <w:szCs w:val="24"/>
        </w:rPr>
        <w:t xml:space="preserve">C8 — Environmental and data performance measures operators should be expected to disclose</w:t>
      </w:r>
    </w:p>
    <w:p>
      <w:pPr>
        <w:pBdr/>
        <w:spacing w:after="140" w:line="252" w:lineRule="auto"/>
        <w:ind/>
        <w:rPr/>
      </w:pPr>
      <w:r>
        <w:rPr>
          <w:rFonts w:ascii="Calibri" w:hAnsi="Calibri" w:eastAsia="Calibri" w:cs="Calibri"/>
          <w:b/>
          <w:bCs/>
          <w:sz w:val="22"/>
          <w:szCs w:val="22"/>
        </w:rPr>
        <w:t xml:space="preserve">14. </w:t>
      </w:r>
      <w:r>
        <w:rPr>
          <w:rFonts w:ascii="Calibri" w:hAnsi="Calibri" w:eastAsia="Calibri" w:cs="Calibri"/>
          <w:sz w:val="22"/>
          <w:szCs w:val="22"/>
        </w:rPr>
        <w:t xml:space="preserve">I recommend utilisation against secured capacity be treated as a sustainability disclosure, no</w:t>
      </w:r>
      <w:r>
        <w:rPr>
          <w:rFonts w:ascii="Calibri" w:hAnsi="Calibri" w:eastAsia="Calibri" w:cs="Calibri"/>
          <w:sz w:val="22"/>
          <w:szCs w:val="22"/>
        </w:rPr>
        <w:t xml:space="preserve">t only a charging metric. A developer’s headline capacity figure says nothing about how much of the grid, and the carbon intensity associated with generating for it, is actually being drawn on at any given time. The same 96-site dataset behind this submiss</w:t>
      </w:r>
      <w:r>
        <w:rPr>
          <w:rFonts w:ascii="Calibri" w:hAnsi="Calibri" w:eastAsia="Calibri" w:cs="Calibri"/>
          <w:sz w:val="22"/>
          <w:szCs w:val="22"/>
        </w:rPr>
        <w:t xml:space="preserve">ion shows a median site drawing around 18% of its secured capacity, averaged across each site’s own half-hourly readings, and the twelve largest — Extra-High Voltage — connections drawing a median of just 6.6% on the same basis [12]. A 40 MW connection at th</w:t>
      </w:r>
      <w:r>
        <w:rPr>
          <w:rFonts w:ascii="Calibri" w:hAnsi="Calibri" w:eastAsia="Calibri" w:cs="Calibri"/>
          <w:sz w:val="22"/>
          <w:szCs w:val="22"/>
        </w:rPr>
        <w:t xml:space="preserve">at tier’s own median draws 2.6 MW, leaving 37.4 MW secured but idle [12]. Scaled against the same distribution network operator’s own published operational capacity data, that is in the region of 900 MW typically unused across its licence area, based on th</w:t>
      </w:r>
      <w:r>
        <w:rPr>
          <w:rFonts w:ascii="Calibri" w:hAnsi="Calibri" w:eastAsia="Calibri" w:cs="Calibri"/>
          <w:sz w:val="22"/>
          <w:szCs w:val="22"/>
        </w:rPr>
        <w:t xml:space="preserve">e same average utilisation figures above rather than an instantaneous reading [13]. If the sector is to make credible claims about responsible, sustainable growth, the public and policymakers need visibility into actual usage, not just contracted capacity.</w:t>
      </w:r>
    </w:p>
    <w:p>
      <w:pPr>
        <w:pBdr/>
        <w:spacing w:after="140" w:line="252" w:lineRule="auto"/>
        <w:ind/>
        <w:rPr/>
      </w:pPr>
      <w:r>
        <w:rPr>
          <w:rFonts w:ascii="Calibri" w:hAnsi="Calibri" w:eastAsia="Calibri" w:cs="Calibri"/>
          <w:b/>
          <w:bCs/>
          <w:sz w:val="22"/>
          <w:szCs w:val="22"/>
        </w:rPr>
        <w:t xml:space="preserve">15. </w:t>
      </w:r>
      <w:r>
        <w:rPr>
          <w:rFonts w:ascii="Calibri" w:hAnsi="Calibri" w:eastAsia="Calibri" w:cs="Calibri"/>
          <w:sz w:val="22"/>
          <w:szCs w:val="22"/>
        </w:rPr>
        <w:t xml:space="preserve">Data centre waste heat has historically been almost entirely wasted in the UK</w:t>
      </w:r>
      <w:r>
        <w:rPr>
          <w:rFonts w:ascii="Calibri" w:hAnsi="Calibri" w:eastAsia="Calibri" w:cs="Calibri"/>
          <w:sz w:val="22"/>
          <w:szCs w:val="22"/>
          <w:lang w:val="en-GB"/>
        </w:rPr>
        <w:t xml:space="preserve">.</w:t>
      </w:r>
      <w:r>
        <w:rPr>
          <w:rFonts w:ascii="Calibri" w:hAnsi="Calibri" w:eastAsia="Calibri" w:cs="Calibri"/>
          <w:sz w:val="22"/>
          <w:szCs w:val="22"/>
        </w:rPr>
        <w:t xml:space="preserve"> </w:t>
      </w:r>
      <w:r>
        <w:rPr>
          <w:rFonts w:ascii="Calibri" w:hAnsi="Calibri" w:eastAsia="Calibri" w:cs="Calibri"/>
          <w:sz w:val="22"/>
          <w:szCs w:val="22"/>
          <w:lang w:val="en-GB"/>
        </w:rPr>
        <w:t xml:space="preserve">T</w:t>
      </w:r>
      <w:r>
        <w:rPr>
          <w:rFonts w:ascii="Calibri" w:hAnsi="Calibri" w:eastAsia="Calibri" w:cs="Calibri"/>
          <w:sz w:val="22"/>
          <w:szCs w:val="22"/>
        </w:rPr>
        <w:t xml:space="preserve">he APPG’s own Insights Pap</w:t>
      </w:r>
      <w:r>
        <w:rPr>
          <w:rFonts w:ascii="Calibri" w:hAnsi="Calibri" w:eastAsia="Calibri" w:cs="Calibri"/>
          <w:sz w:val="22"/>
          <w:szCs w:val="22"/>
        </w:rPr>
        <w:t xml:space="preserve">er records a current heat-recovery rate of just 3–5%, citing evidence from the DICE Network [18]. England’s forthcoming Heat Network Zoning regime addresses this gap directly, and is </w:t>
      </w:r>
      <w:r>
        <w:rPr>
          <w:rFonts w:ascii="Calibri" w:hAnsi="Calibri" w:eastAsia="Calibri" w:cs="Calibri"/>
          <w:sz w:val="22"/>
          <w:szCs w:val="22"/>
          <w:lang w:val="en-GB"/>
        </w:rPr>
        <w:t xml:space="preserve">w</w:t>
      </w:r>
      <w:r>
        <w:rPr>
          <w:rFonts w:ascii="Calibri" w:hAnsi="Calibri" w:eastAsia="Calibri" w:cs="Calibri"/>
          <w:sz w:val="22"/>
          <w:szCs w:val="22"/>
        </w:rPr>
        <w:t xml:space="preserve">elcom</w:t>
      </w:r>
      <w:r>
        <w:rPr>
          <w:rFonts w:ascii="Calibri" w:hAnsi="Calibri" w:eastAsia="Calibri" w:cs="Calibri"/>
          <w:sz w:val="22"/>
          <w:szCs w:val="22"/>
          <w:lang w:val="en-GB"/>
        </w:rPr>
        <w:t xml:space="preserve">e</w:t>
      </w:r>
      <w:r>
        <w:rPr>
          <w:rFonts w:ascii="Calibri" w:hAnsi="Calibri" w:eastAsia="Calibri" w:cs="Calibri"/>
          <w:sz w:val="22"/>
          <w:szCs w:val="22"/>
        </w:rPr>
        <w:t xml:space="preserve">: it will let zone coordination bodies require large heat </w:t>
      </w:r>
      <w:r>
        <w:rPr>
          <w:rFonts w:ascii="Calibri" w:hAnsi="Calibri" w:eastAsia="Calibri" w:cs="Calibri"/>
          <w:sz w:val="22"/>
          <w:szCs w:val="22"/>
        </w:rPr>
        <w:t xml:space="preserve">sources</w:t>
      </w:r>
      <w:r>
        <w:rPr>
          <w:rFonts w:ascii="Calibri" w:hAnsi="Calibri" w:eastAsia="Calibri" w:cs="Calibri"/>
          <w:sz w:val="22"/>
          <w:szCs w:val="22"/>
          <w:lang w:val="en-GB"/>
        </w:rPr>
        <w:t xml:space="preserve">,</w:t>
      </w:r>
      <w:r>
        <w:rPr>
          <w:rFonts w:ascii="Calibri" w:hAnsi="Calibri" w:eastAsia="Calibri" w:cs="Calibri"/>
          <w:sz w:val="22"/>
          <w:szCs w:val="22"/>
          <w:lang w:val="en-GB"/>
        </w:rPr>
        <w:t xml:space="preserve"> </w:t>
      </w:r>
      <w:r>
        <w:rPr>
          <w:rFonts w:ascii="Calibri" w:hAnsi="Calibri" w:eastAsia="Calibri" w:cs="Calibri"/>
          <w:sz w:val="22"/>
          <w:szCs w:val="22"/>
        </w:rPr>
        <w:t xml:space="preserve">data centres explicitly included</w:t>
      </w:r>
      <w:r>
        <w:rPr>
          <w:rFonts w:ascii="Calibri" w:hAnsi="Calibri" w:eastAsia="Calibri" w:cs="Calibri"/>
          <w:sz w:val="22"/>
          <w:szCs w:val="22"/>
          <w:lang w:val="en-GB"/>
        </w:rPr>
        <w:t xml:space="preserve">, </w:t>
      </w:r>
      <w:r>
        <w:rPr>
          <w:rFonts w:ascii="Calibri" w:hAnsi="Calibri" w:eastAsia="Calibri" w:cs="Calibri"/>
          <w:sz w:val="22"/>
          <w:szCs w:val="22"/>
        </w:rPr>
        <w:t xml:space="preserve">to connect to a local network where commercial terms cannot be agreed [17]. Operators should be required to disclose whether heat is recovered or vented. Ideally, heat-recovery capacity would be designed in from</w:t>
      </w:r>
      <w:r>
        <w:rPr>
          <w:rFonts w:ascii="Calibri" w:hAnsi="Calibri" w:eastAsia="Calibri" w:cs="Calibri"/>
          <w:sz w:val="22"/>
          <w:szCs w:val="22"/>
        </w:rPr>
        <w:t xml:space="preserve"> the outset, before a zone is ever designated. Queen Mary University of London’s own data centre already shows what connection looks like in practice, saving £240,000 a year in gas bills and cutting emissions by around 553 tonnes of CO2e net annually [17].</w:t>
      </w:r>
    </w:p>
    <w:p>
      <w:pPr>
        <w:pBdr>
          <w:bottom w:val="single" w:color="999999" w:sz="6" w:space="1"/>
        </w:pBdr>
        <w:spacing w:after="240"/>
        <w:ind/>
        <w:rPr/>
      </w:pPr>
    </w:p>
    <w:p>
      <w:pPr>
        <w:pBdr/>
        <w:spacing w:after="120" w:before="240"/>
        <w:ind/>
        <w:rPr/>
      </w:pPr>
      <w:r>
        <w:rPr>
          <w:rFonts w:ascii="Calibri" w:hAnsi="Calibri" w:eastAsia="Calibri" w:cs="Calibri"/>
          <w:b/>
          <w:bCs/>
          <w:sz w:val="24"/>
          <w:szCs w:val="24"/>
        </w:rPr>
        <w:t xml:space="preserve">References</w:t>
      </w:r>
    </w:p>
    <w:p>
      <w:pPr>
        <w:pBdr/>
        <w:spacing w:after="140" w:line="252" w:lineRule="auto"/>
        <w:ind/>
        <w:rPr>
          <w:sz w:val="16"/>
          <w:szCs w:val="16"/>
        </w:rPr>
      </w:pPr>
      <w:r>
        <w:rPr>
          <w:rFonts w:ascii="Calibri" w:hAnsi="Calibri" w:eastAsia="Calibri" w:cs="Calibri"/>
          <w:sz w:val="16"/>
          <w:szCs w:val="16"/>
        </w:rPr>
        <w:t xml:space="preserve">[1]  Ofgem, “Curate – Demand Connections Reform” consultation, 29 July 2026, para 2.8 and Executive Summary (“approximately 73 GW of the total demand queue are da</w:t>
      </w:r>
      <w:r>
        <w:rPr>
          <w:rFonts w:ascii="Calibri" w:hAnsi="Calibri" w:eastAsia="Calibri" w:cs="Calibri"/>
          <w:sz w:val="16"/>
          <w:szCs w:val="16"/>
        </w:rPr>
        <w:t xml:space="preserve">ta centres”). A separate Ofgem press release announcing the same consultation (29/30 July 2026) states data centres account for “at least 80GWs” of the queue — a different figure from a different document, not a correction of the consultation’s own figure.</w:t>
      </w:r>
      <w:r>
        <w:rPr>
          <w:sz w:val="16"/>
          <w:szCs w:val="16"/>
        </w:rPr>
      </w:r>
    </w:p>
    <w:p>
      <w:pPr>
        <w:pBdr/>
        <w:spacing w:after="140" w:line="252" w:lineRule="auto"/>
        <w:ind/>
        <w:rPr>
          <w:sz w:val="16"/>
          <w:szCs w:val="16"/>
        </w:rPr>
      </w:pPr>
      <w:r>
        <w:rPr>
          <w:rFonts w:ascii="Calibri" w:hAnsi="Calibri" w:eastAsia="Calibri" w:cs="Calibri"/>
          <w:sz w:val="16"/>
          <w:szCs w:val="16"/>
        </w:rPr>
        <w:t xml:space="preserve">[2]  Author’s own modelling of TNUoS capacity-band step-down feasibility against a 5 MW connection and DataVita’s 40 MW DV1 facility, using published TNUoS tariff tables and DV1’s real load profile where available.</w:t>
      </w:r>
      <w:r>
        <w:rPr>
          <w:rFonts w:ascii="Calibri" w:hAnsi="Calibri" w:eastAsia="Calibri" w:cs="Calibri"/>
          <w:sz w:val="16"/>
          <w:szCs w:val="16"/>
          <w:lang w:val="en-GB"/>
        </w:rPr>
        <w:t xml:space="preserve"> (</w:t>
      </w:r>
      <w:r>
        <w:rPr>
          <w:rFonts w:ascii="Calibri" w:hAnsi="Calibri" w:eastAsia="Calibri" w:cs="Calibri"/>
          <w:sz w:val="16"/>
          <w:szCs w:val="16"/>
          <w:lang w:val="en-GB"/>
        </w:rPr>
        <w:t xml:space="preserve">https://github.com/AndyMoran/ofgem-curate-response</w:t>
      </w:r>
      <w:r>
        <w:rPr>
          <w:rFonts w:ascii="Calibri" w:hAnsi="Calibri" w:eastAsia="Calibri" w:cs="Calibri"/>
          <w:sz w:val="16"/>
          <w:szCs w:val="16"/>
          <w:lang w:val="en-GB"/>
        </w:rPr>
        <w:t xml:space="preserve">)</w:t>
      </w:r>
      <w:r>
        <w:rPr>
          <w:sz w:val="16"/>
          <w:szCs w:val="16"/>
        </w:rPr>
      </w:r>
    </w:p>
    <w:p>
      <w:pPr>
        <w:pBdr/>
        <w:spacing w:after="140" w:line="252" w:lineRule="auto"/>
        <w:ind/>
        <w:rPr>
          <w:sz w:val="16"/>
          <w:szCs w:val="16"/>
        </w:rPr>
      </w:pPr>
      <w:r>
        <w:rPr>
          <w:rFonts w:ascii="Calibri" w:hAnsi="Calibri" w:eastAsia="Calibri" w:cs="Calibri"/>
          <w:sz w:val="16"/>
          <w:szCs w:val="16"/>
        </w:rPr>
        <w:t xml:space="preserve">[3]  Ofgem, “Curate – Demand Connections Reform” consultation, 29 July 2026, proposed capacity-reduction commitment fee, modelled on industry precedent CMP448.</w:t>
      </w:r>
      <w:r>
        <w:rPr>
          <w:sz w:val="16"/>
          <w:szCs w:val="16"/>
        </w:rPr>
      </w:r>
    </w:p>
    <w:p>
      <w:pPr>
        <w:pBdr/>
        <w:spacing w:after="140" w:line="252" w:lineRule="auto"/>
        <w:ind/>
        <w:rPr>
          <w:sz w:val="16"/>
          <w:szCs w:val="16"/>
        </w:rPr>
      </w:pPr>
      <w:r>
        <w:rPr>
          <w:rFonts w:ascii="Calibri" w:hAnsi="Calibri" w:eastAsia="Calibri" w:cs="Calibri"/>
          <w:sz w:val="16"/>
          <w:szCs w:val="16"/>
        </w:rPr>
        <w:t xml:space="preserve">[4]  NESO, quoted directly in Data Center Dynamics coverage of its Future Energy Scenarios (“how many data centres will </w:t>
      </w:r>
      <w:r>
        <w:rPr>
          <w:rFonts w:ascii="Calibri" w:hAnsi="Calibri" w:eastAsia="Calibri" w:cs="Calibri"/>
          <w:sz w:val="16"/>
          <w:szCs w:val="16"/>
        </w:rPr>
        <w:t xml:space="preserve">be built in the UK, compared to other competitive global markets”); I have not independently located the equivalent passage in NESO’s own FES publication, so this claim rests on that direct quotation rather than a pinpoint citation to the primary document.</w:t>
      </w:r>
      <w:r>
        <w:rPr>
          <w:sz w:val="16"/>
          <w:szCs w:val="16"/>
        </w:rPr>
      </w:r>
    </w:p>
    <w:p>
      <w:pPr>
        <w:pBdr/>
        <w:spacing w:after="140" w:line="252" w:lineRule="auto"/>
        <w:ind/>
        <w:rPr>
          <w:sz w:val="16"/>
          <w:szCs w:val="16"/>
        </w:rPr>
      </w:pPr>
      <w:r>
        <w:rPr>
          <w:rFonts w:ascii="Calibri" w:hAnsi="Calibri" w:eastAsia="Calibri" w:cs="Calibri"/>
          <w:sz w:val="16"/>
          <w:szCs w:val="16"/>
        </w:rPr>
        <w:t xml:space="preserve">[5]  Water UK, written evidence to the House of Commons Data Centres inquiry (DCU0037).</w:t>
      </w:r>
      <w:r>
        <w:rPr>
          <w:sz w:val="16"/>
          <w:szCs w:val="16"/>
        </w:rPr>
      </w:r>
    </w:p>
    <w:p>
      <w:pPr>
        <w:pBdr/>
        <w:spacing w:after="140" w:line="252" w:lineRule="auto"/>
        <w:ind/>
        <w:rPr>
          <w:sz w:val="16"/>
          <w:szCs w:val="16"/>
        </w:rPr>
      </w:pPr>
      <w:r>
        <w:rPr>
          <w:rFonts w:ascii="Calibri" w:hAnsi="Calibri" w:eastAsia="Calibri" w:cs="Calibri"/>
          <w:sz w:val="16"/>
          <w:szCs w:val="16"/>
        </w:rPr>
        <w:t xml:space="preserve">[6]  Energy UK, written evidence to the House of Commons Data Centres inquiry (DCU0063).</w:t>
      </w:r>
      <w:r>
        <w:rPr>
          <w:sz w:val="16"/>
          <w:szCs w:val="16"/>
        </w:rPr>
      </w:r>
    </w:p>
    <w:p>
      <w:pPr>
        <w:pBdr/>
        <w:spacing w:after="140" w:line="252" w:lineRule="auto"/>
        <w:ind/>
        <w:rPr>
          <w:sz w:val="16"/>
          <w:szCs w:val="16"/>
        </w:rPr>
      </w:pPr>
      <w:r>
        <w:rPr>
          <w:rFonts w:ascii="Calibri" w:hAnsi="Calibri" w:eastAsia="Calibri" w:cs="Calibri"/>
          <w:sz w:val="16"/>
          <w:szCs w:val="16"/>
        </w:rPr>
        <w:t xml:space="preserve">[7]  DSIT, Compute Evidence Annex, July 2025; revised figures reported April 2026 following independent analysis (Carbon Brief); government response as reported in coverage of the revision.</w:t>
      </w:r>
      <w:r>
        <w:rPr>
          <w:sz w:val="16"/>
          <w:szCs w:val="16"/>
        </w:rPr>
      </w:r>
    </w:p>
    <w:p>
      <w:pPr>
        <w:pBdr/>
        <w:spacing w:after="140" w:line="252" w:lineRule="auto"/>
        <w:ind/>
        <w:rPr>
          <w:sz w:val="16"/>
          <w:szCs w:val="16"/>
        </w:rPr>
      </w:pPr>
      <w:r>
        <w:rPr>
          <w:rFonts w:ascii="Calibri" w:hAnsi="Calibri" w:eastAsia="Calibri" w:cs="Calibri"/>
          <w:sz w:val="16"/>
          <w:szCs w:val="16"/>
        </w:rPr>
        <w:t xml:space="preserve">[8]  Ofgem, Climate Resilience Report — Fourth Round Reporting (ARP4), April 2025, §5.5.</w:t>
      </w:r>
      <w:r>
        <w:rPr>
          <w:sz w:val="16"/>
          <w:szCs w:val="16"/>
        </w:rPr>
      </w:r>
    </w:p>
    <w:p>
      <w:pPr>
        <w:pBdr/>
        <w:spacing w:after="140" w:line="252" w:lineRule="auto"/>
        <w:ind/>
        <w:rPr>
          <w:sz w:val="16"/>
          <w:szCs w:val="16"/>
        </w:rPr>
      </w:pPr>
      <w:r>
        <w:rPr>
          <w:rFonts w:ascii="Calibri" w:hAnsi="Calibri" w:eastAsia="Calibri" w:cs="Calibri"/>
          <w:sz w:val="16"/>
          <w:szCs w:val="16"/>
        </w:rPr>
        <w:t xml:space="preserve">[9]  Author’s own calculation: Ofgem’s proposed £237,500–£712,500 per MW commitment fee range applied to a 50 MW connection.</w:t>
      </w:r>
      <w:r>
        <w:rPr>
          <w:rFonts w:ascii="Calibri" w:hAnsi="Calibri" w:eastAsia="Calibri" w:cs="Calibri"/>
          <w:sz w:val="16"/>
          <w:szCs w:val="16"/>
          <w:lang w:val="en-GB"/>
        </w:rPr>
        <w:t xml:space="preserve"> (</w:t>
      </w:r>
      <w:r>
        <w:rPr>
          <w:rFonts w:ascii="Calibri" w:hAnsi="Calibri" w:eastAsia="Calibri" w:cs="Calibri"/>
          <w:sz w:val="16"/>
          <w:szCs w:val="16"/>
          <w:lang w:val="en-GB"/>
        </w:rPr>
        <w:t xml:space="preserve">https://github.com/AndyMoran/ofgem-curate-response</w:t>
      </w:r>
      <w:r>
        <w:rPr>
          <w:rFonts w:ascii="Calibri" w:hAnsi="Calibri" w:eastAsia="Calibri" w:cs="Calibri"/>
          <w:sz w:val="16"/>
          <w:szCs w:val="16"/>
          <w:lang w:val="en-GB"/>
        </w:rPr>
        <w:t xml:space="preserve">)</w:t>
      </w:r>
      <w:r>
        <w:rPr>
          <w:sz w:val="16"/>
          <w:szCs w:val="16"/>
        </w:rPr>
      </w:r>
    </w:p>
    <w:p>
      <w:pPr>
        <w:pBdr/>
        <w:spacing w:after="140" w:line="252" w:lineRule="auto"/>
        <w:ind/>
        <w:rPr>
          <w:sz w:val="16"/>
          <w:szCs w:val="16"/>
        </w:rPr>
      </w:pPr>
      <w:r>
        <w:rPr>
          <w:rFonts w:ascii="Calibri" w:hAnsi="Calibri" w:eastAsia="Calibri" w:cs="Calibri"/>
          <w:sz w:val="16"/>
          <w:szCs w:val="16"/>
        </w:rPr>
        <w:t xml:space="preserve">[10]  Frontier Economics, “Datacentre connections: babies and bathwater?”</w:t>
      </w:r>
      <w:r>
        <w:rPr>
          <w:sz w:val="16"/>
          <w:szCs w:val="16"/>
        </w:rPr>
      </w:r>
    </w:p>
    <w:p>
      <w:pPr>
        <w:pBdr/>
        <w:spacing w:after="140" w:line="252" w:lineRule="auto"/>
        <w:ind/>
        <w:rPr>
          <w:sz w:val="16"/>
          <w:szCs w:val="16"/>
        </w:rPr>
      </w:pPr>
      <w:r>
        <w:rPr>
          <w:rFonts w:ascii="Calibri" w:hAnsi="Calibri" w:eastAsia="Calibri" w:cs="Calibri"/>
          <w:sz w:val="16"/>
          <w:szCs w:val="16"/>
        </w:rPr>
        <w:t xml:space="preserve">[11]  Nick Curum, as quoted in EnterpriseZone.cc coverage of the Curate consultation.</w:t>
      </w:r>
      <w:r>
        <w:rPr>
          <w:sz w:val="16"/>
          <w:szCs w:val="16"/>
        </w:rPr>
      </w:r>
    </w:p>
    <w:p>
      <w:pPr>
        <w:pBdr/>
        <w:spacing w:after="140" w:line="252" w:lineRule="auto"/>
        <w:ind/>
        <w:rPr>
          <w:sz w:val="16"/>
          <w:szCs w:val="16"/>
        </w:rPr>
      </w:pPr>
      <w:r>
        <w:rPr>
          <w:rFonts w:ascii="Calibri" w:hAnsi="Calibri" w:eastAsia="Calibri" w:cs="Calibri"/>
          <w:sz w:val="16"/>
          <w:szCs w:val="16"/>
        </w:rPr>
        <w:t xml:space="preserve">[12]  Author’s own analysis of UK Power Networks’ “Data Centre Demand Profiles” open dataset (96 sites, approximately 5.4 million half-hourly readings, January 2023–May 2026).</w:t>
      </w:r>
      <w:r>
        <w:rPr>
          <w:rFonts w:ascii="Calibri" w:hAnsi="Calibri" w:eastAsia="Calibri" w:cs="Calibri"/>
          <w:sz w:val="16"/>
          <w:szCs w:val="16"/>
          <w:lang w:val="en-GB"/>
        </w:rPr>
        <w:t xml:space="preserve"> (</w:t>
      </w:r>
      <w:r>
        <w:rPr>
          <w:rFonts w:ascii="Calibri" w:hAnsi="Calibri" w:eastAsia="Calibri" w:cs="Calibri"/>
          <w:sz w:val="16"/>
          <w:szCs w:val="16"/>
          <w:lang w:val="en-GB"/>
        </w:rPr>
        <w:t xml:space="preserve">https://github.com/AndyMoran/ofgem-curate-response</w:t>
      </w:r>
      <w:r>
        <w:rPr>
          <w:rFonts w:ascii="Calibri" w:hAnsi="Calibri" w:eastAsia="Calibri" w:cs="Calibri"/>
          <w:sz w:val="16"/>
          <w:szCs w:val="16"/>
          <w:lang w:val="en-GB"/>
        </w:rPr>
        <w:t xml:space="preserve">)</w:t>
      </w:r>
      <w:r>
        <w:rPr>
          <w:sz w:val="16"/>
          <w:szCs w:val="16"/>
        </w:rPr>
      </w:r>
    </w:p>
    <w:p>
      <w:pPr>
        <w:pBdr/>
        <w:spacing w:after="140" w:line="252" w:lineRule="auto"/>
        <w:ind/>
        <w:rPr>
          <w:sz w:val="16"/>
          <w:szCs w:val="16"/>
        </w:rPr>
      </w:pPr>
      <w:r>
        <w:rPr>
          <w:rFonts w:ascii="Calibri" w:hAnsi="Calibri" w:eastAsia="Calibri" w:cs="Calibri"/>
          <w:sz w:val="16"/>
          <w:szCs w:val="16"/>
        </w:rPr>
        <w:t xml:space="preserve">[13]  Author’s own analysis combining the dataset in [12] with UK Power</w:t>
      </w:r>
      <w:r>
        <w:rPr>
          <w:rFonts w:ascii="Calibri" w:hAnsi="Calibri" w:eastAsia="Calibri" w:cs="Calibri"/>
          <w:sz w:val="16"/>
          <w:szCs w:val="16"/>
        </w:rPr>
        <w:t xml:space="preserve"> Networks’ “Data Centres by Local Authority” open dataset (operational capacity by local authority).</w:t>
      </w:r>
      <w:r>
        <w:rPr>
          <w:rFonts w:ascii="Calibri" w:hAnsi="Calibri" w:eastAsia="Calibri" w:cs="Calibri"/>
          <w:sz w:val="16"/>
          <w:szCs w:val="16"/>
          <w:lang w:val="en-GB"/>
        </w:rPr>
        <w:t xml:space="preserve"> (</w:t>
      </w:r>
      <w:r>
        <w:rPr>
          <w:rFonts w:ascii="Calibri" w:hAnsi="Calibri" w:eastAsia="Calibri" w:cs="Calibri"/>
          <w:sz w:val="16"/>
          <w:szCs w:val="16"/>
          <w:lang w:val="en-GB"/>
        </w:rPr>
        <w:t xml:space="preserve">https://github.com/AndyMoran/ofgem-curate-response</w:t>
      </w:r>
      <w:r>
        <w:rPr>
          <w:rFonts w:ascii="Calibri" w:hAnsi="Calibri" w:eastAsia="Calibri" w:cs="Calibri"/>
          <w:sz w:val="16"/>
          <w:szCs w:val="16"/>
          <w:lang w:val="en-GB"/>
        </w:rPr>
        <w:t xml:space="preserve">)</w:t>
      </w:r>
      <w:r>
        <w:rPr>
          <w:sz w:val="16"/>
          <w:szCs w:val="16"/>
        </w:rPr>
      </w:r>
    </w:p>
    <w:p>
      <w:pPr>
        <w:pBdr/>
        <w:spacing w:after="140" w:line="252" w:lineRule="auto"/>
        <w:ind/>
        <w:rPr>
          <w:sz w:val="16"/>
          <w:szCs w:val="16"/>
        </w:rPr>
      </w:pPr>
      <w:r>
        <w:rPr>
          <w:rFonts w:ascii="Calibri" w:hAnsi="Calibri" w:eastAsia="Calibri" w:cs="Calibri"/>
          <w:sz w:val="16"/>
          <w:szCs w:val="16"/>
        </w:rPr>
        <w:t xml:space="preserve">[14]  Karimi, L. et al., “Water-energy tradeoffs in data centers: A case study in hot-arid climates,” Resources, Conservation and Recycling, vol. 181, article 106194 (2022).</w:t>
      </w:r>
      <w:r>
        <w:rPr>
          <w:sz w:val="16"/>
          <w:szCs w:val="16"/>
        </w:rPr>
      </w:r>
    </w:p>
    <w:p>
      <w:pPr>
        <w:pBdr/>
        <w:spacing w:after="140" w:line="252" w:lineRule="auto"/>
        <w:ind/>
        <w:rPr>
          <w:sz w:val="16"/>
          <w:szCs w:val="16"/>
        </w:rPr>
      </w:pPr>
      <w:r>
        <w:rPr>
          <w:rFonts w:ascii="Calibri" w:hAnsi="Calibri" w:eastAsia="Calibri" w:cs="Calibri"/>
          <w:sz w:val="16"/>
          <w:szCs w:val="16"/>
        </w:rPr>
        <w:t xml:space="preserve">[15]  Karamperidou, C. et al., “Limitations to air free cooling in data centers under rising heat and humidity,” Scientific Reports, vol. 16, article 27036 (2026).</w:t>
      </w:r>
      <w:r>
        <w:rPr>
          <w:sz w:val="16"/>
          <w:szCs w:val="16"/>
        </w:rPr>
      </w:r>
    </w:p>
    <w:p>
      <w:pPr>
        <w:pBdr/>
        <w:spacing w:after="140" w:line="252" w:lineRule="auto"/>
        <w:ind/>
        <w:rPr>
          <w:sz w:val="16"/>
          <w:szCs w:val="16"/>
        </w:rPr>
      </w:pPr>
      <w:r>
        <w:rPr>
          <w:rFonts w:ascii="Calibri" w:hAnsi="Calibri" w:eastAsia="Calibri" w:cs="Calibri"/>
          <w:sz w:val="16"/>
          <w:szCs w:val="16"/>
        </w:rPr>
        <w:t xml:space="preserve">[16]  Author’s correspondence with UK Power Networks (Open Data/DSO team), 8 September 2026; Utilities Act 2000, s.105 (General Restrictions on Disclosure of Information).</w:t>
      </w:r>
      <w:r>
        <w:rPr>
          <w:sz w:val="16"/>
          <w:szCs w:val="16"/>
        </w:rPr>
      </w:r>
    </w:p>
    <w:p>
      <w:pPr>
        <w:pBdr/>
        <w:spacing w:after="140" w:line="252" w:lineRule="auto"/>
        <w:ind/>
        <w:rPr>
          <w:sz w:val="16"/>
          <w:szCs w:val="16"/>
        </w:rPr>
      </w:pPr>
      <w:r>
        <w:rPr>
          <w:rFonts w:ascii="Calibri" w:hAnsi="Calibri" w:eastAsia="Calibri" w:cs="Calibri"/>
          <w:sz w:val="16"/>
          <w:szCs w:val="16"/>
        </w:rPr>
        <w:t xml:space="preserve">[17]  Department for Energy Security and Net Zero, government response to “Proposals for heat network zoning 2023” consultation (accessible webpage), January 2026, on data-centre waste-</w:t>
      </w:r>
      <w:r>
        <w:rPr>
          <w:rFonts w:ascii="Calibri" w:hAnsi="Calibri" w:eastAsia="Calibri" w:cs="Calibri"/>
          <w:sz w:val="16"/>
          <w:szCs w:val="16"/>
        </w:rPr>
        <w:t xml:space="preserve">heat connection examples and the zone coordination body’s power to require connection; Queen Mary University of London’s £240,000 annual saving as reported in Data Center Dynamics coverage; net carbon-saving figure (553 tCO2e/yr) from Queen Mary University</w:t>
      </w:r>
      <w:r>
        <w:rPr>
          <w:rFonts w:ascii="Calibri" w:hAnsi="Calibri" w:eastAsia="Calibri" w:cs="Calibri"/>
          <w:sz w:val="16"/>
          <w:szCs w:val="16"/>
        </w:rPr>
        <w:t xml:space="preserve"> of London’s own project announcement, released via Schneider Electric, which differs from Data Center Dynamics’ rounder “more than 700 tons” figure — the university’s own net-of-electricity-increase figure is used here as the more precise, primary source.</w:t>
      </w:r>
      <w:r>
        <w:rPr>
          <w:sz w:val="16"/>
          <w:szCs w:val="16"/>
        </w:rPr>
      </w:r>
    </w:p>
    <w:p>
      <w:pPr>
        <w:pBdr/>
        <w:spacing w:after="140" w:line="252" w:lineRule="auto"/>
        <w:ind/>
        <w:rPr>
          <w:sz w:val="16"/>
          <w:szCs w:val="16"/>
        </w:rPr>
      </w:pPr>
      <w:r>
        <w:rPr>
          <w:rFonts w:ascii="Calibri" w:hAnsi="Calibri" w:eastAsia="Calibri" w:cs="Calibri"/>
          <w:sz w:val="16"/>
          <w:szCs w:val="16"/>
        </w:rPr>
        <w:t xml:space="preserve">[18]  Da</w:t>
      </w:r>
      <w:r>
        <w:rPr>
          <w:rFonts w:ascii="Calibri" w:hAnsi="Calibri" w:eastAsia="Calibri" w:cs="Calibri"/>
          <w:sz w:val="16"/>
          <w:szCs w:val="16"/>
        </w:rPr>
        <w:t xml:space="preserve">ta Centres APPG, Insights from the APPG’s inaugural Call for Evidence (Insights Paper), May 2026, citing a written submission from the DICE Network (UK data-centre heat-recovery rate of 3–5%; over 90% of data-centre electricity consumption wasted as heat).</w:t>
      </w:r>
      <w:r>
        <w:rPr>
          <w:sz w:val="16"/>
          <w:szCs w:val="16"/>
        </w:rPr>
      </w:r>
    </w:p>
    <w:sectPr>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e6da5"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5d732f"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66879"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b25408"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b4b72"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c9a3f"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48ba3"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dd690a"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Un-named;Andrew G Moran</dc:creator>
  <cp:revision>2</cp:revision>
  <dcterms:created xsi:type="dcterms:W3CDTF">2026-08-31T14:10:42Z</dcterms:created>
  <dcterms:modified xsi:type="dcterms:W3CDTF">2026-09-15T11:06:25Z</dcterms:modified>
</cp:coreProperties>
</file>