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4"/>
          <w:szCs w:val="44"/>
        </w:rPr>
        <w:t xml:space="preserve">The Realities of Heavy Industry Decarbonisation</w:t>
      </w:r>
    </w:p>
    <w:p>
      <w:pPr>
        <w:spacing w:after="220"/>
      </w:pPr>
      <w:r>
        <w:rPr>
          <w:b/>
          <w:bCs/>
          <w:color w:val="000000"/>
          <w:sz w:val="30"/>
          <w:szCs w:val="30"/>
        </w:rPr>
        <w:t xml:space="preserve">Why Oxy-Fuel Fails Where Amine Wins (And How Waste Heat Saves the OpEx)</w:t>
      </w:r>
    </w:p>
    <w:p>
      <w:pPr>
        <w:spacing w:after="180"/>
      </w:pPr>
      <w:r>
        <w:rPr>
          <w:i/>
          <w:iCs/>
          <w:color w:val="666666"/>
          <w:sz w:val="22"/>
          <w:szCs w:val="22"/>
        </w:rPr>
        <w:t xml:space="preserve">A close read of a single UK cement plant's kiln architecture and permit history shows why the most-discussed carbon capture retrofit doesn't fit everywhere — and where the real, defensible savings are actually hiding.</w:t>
      </w:r>
    </w:p>
    <w:p>
      <w:pPr>
        <w:spacing w:after="180"/>
      </w:pPr>
      <w:r>
        <w:rPr>
          <w:i/>
          <w:iCs/>
          <w:color w:val="666666"/>
          <w:sz w:val="18"/>
          <w:szCs w:val="18"/>
        </w:rPr>
        <w:t xml:space="preserve">[Byline / publication placeholder]</w:t>
      </w:r>
    </w:p>
    <w:p>
      <w:pPr>
        <w:spacing w:after="180"/>
      </w:pPr>
      <w:r>
        <w:t xml:space="preserve">Hope Cement Works, in Derbyshire's Peak District, is the UK's largest cement plant — producing roughly 1.5 million tonnes of cement a year, around 16% of national output, from two rotary kilns that have been running since the early 1970s. It is also, by its own operator's account, the largest single source of greenhouse gas emissions in the Hope Valley: an estimated 1.2 million tonnes of CO₂ a year, according to figures published by the local campaign group Hope Valley Climate Action (HVCA).</w:t>
      </w:r>
    </w:p>
    <w:p>
      <w:pPr>
        <w:spacing w:after="180"/>
      </w:pPr>
      <w:r>
        <w:t xml:space="preserve">Hope is one of four sites behind Peak Cluster, a proposed £5bn, ~198km CO₂ pipeline that would carry captured emissions from Derbyshire and Staffordshire's cement and lime industry to offshore storage beneath the Irish Sea. The pipeline is not really in question at this point — it has National Wealth Fund backing, a four-operator consortium, and a Development Consent Order submission expected later this year. What is still an open, and expensive, question is how each site captures the CO₂ before it reaches the pipeline manifold. And that is where the industry's favourite answer — oxy-fuel combustion — runs into a problem specific to a plant like Hope's.</w:t>
      </w:r>
    </w:p>
    <w:p>
      <w:pPr>
        <w:pStyle w:val="Heading2"/>
        <w:spacing w:after="140" w:before="320"/>
      </w:pPr>
      <w:r>
        <w:t xml:space="preserve">The Oxy-Fuel Promise</w:t>
      </w:r>
    </w:p>
    <w:p>
      <w:pPr>
        <w:spacing w:after="180"/>
      </w:pPr>
      <w:r>
        <w:t xml:space="preserve">Oxy-fuel combustion is, on paper, an elegant fix for cement decarbonisation. Burn fuel in pure oxygen instead of air, and the nitrogen that normally dilutes flue gas to a thin 14–35% CO₂ disappears from the equation — concentrations above 80% become achievable, at a fraction of the energy penalty of scrubbing a dilute stream with amine solvent. The EU's CEMCAP research programme has spent the better part of a decade demonstrating the components at pilot scale, and the appeal to anyone modelling capture costs is obvious: a smaller, cheaper capture plant.</w:t>
      </w:r>
    </w:p>
    <w:p>
      <w:pPr>
        <w:spacing w:after="180"/>
      </w:pPr>
      <w:r>
        <w:t xml:space="preserve">The catch, which is easy to miss if you model the technology generically rather than against a specific kiln, is where that pilot-scale work has actually been done. CEMCAP's oxy-fuel research is built around converting the precalciner — a separate, lower-temperature vessel found in modern cement plants that burns 60–65% of total fuel input outside the rotary kiln itself. Converting a precalciner to oxy-fuel is a contained, comparatively low-risk retrofit. Converting a kiln that has no precalciner at all is a different undertaking entirely.</w:t>
      </w:r>
    </w:p>
    <w:p>
      <w:pPr>
        <w:pStyle w:val="Heading2"/>
        <w:spacing w:after="140" w:before="320"/>
      </w:pPr>
      <w:r>
        <w:t xml:space="preserve">What Hope's Permit Actually Says</w:t>
      </w:r>
    </w:p>
    <w:p>
      <w:pPr>
        <w:spacing w:after="180"/>
      </w:pPr>
      <w:r>
        <w:t xml:space="preserve">Hope's kilns don't have one. Environment Agency permit records for the site — publicly available BAT Conclusions decision documentation — state it plainly: “The kilns were installed in the early 1970s and each have a multistage cyclone preheater, but no calciner.” Retrofitting oxy-fuel at Hope would mean converting the main kiln burner flame itself: the radiant heat flux, clinker mineralogy, and refractory life implications of that are not things the published literature has tested at commercial scale, let alone on a kiln this old.</w:t>
      </w:r>
    </w:p>
    <w:p>
      <w:pPr>
        <w:spacing w:after="180"/>
      </w:pPr>
      <w:r>
        <w:t xml:space="preserve">This is very likely the real reason Breedon, Hope's operator, has already made its call. At a March 2025 community briefing — reported by HVCA, the local campaign group whose committee has met directly with Hope's plant management on several occasions — the company's plant manager and sustainability manager told local residents that amine scrubbing, not oxy-fuel, is “closest to realisation” for Hope, with internal cost estimates of roughly £400m for capture and a further £300m for the site's share of pipeline transport infrastructure.</w:t>
      </w:r>
    </w:p>
    <w:p>
      <w:pPr>
        <w:spacing w:after="180"/>
      </w:pPr>
      <w:r>
        <w:t xml:space="preserve">Amine capture is, in an important sense, a boring technology choice — and that is precisely its appeal for a 50-year-old kiln. It bolts on at the end of the exhaust stack. It requires no fundamental change to the core clinker-making process that has been running, largely unmodified, since the early 1970s. Norway's Brevik plant, the world's first full-scale commercial cement CCS installation, made the same choice for broadly the same reason.</w:t>
      </w:r>
    </w:p>
    <w:p>
      <w:pPr>
        <w:pStyle w:val="Heading2"/>
        <w:spacing w:after="140" w:before="320"/>
      </w:pPr>
      <w:r>
        <w:t xml:space="preserve">The Sulphur Risk Hiding in the OpEx</w:t>
      </w:r>
    </w:p>
    <w:p>
      <w:pPr>
        <w:spacing w:after="180"/>
      </w:pPr>
      <w:r>
        <w:t xml:space="preserve">There is a second finding, in a separate, real Environment Agency decision document, that deserves more attention than it's had: Hope's SO₂ emissions are elevated, attributed by the regulator to “the levels of pyritic sulphur in their locally quarried shale.” Actual confirmed operating data from that document put emissions at 600–800 mg/Nm³ — reported as 2,030 tonnes of SO₂ a year — with Breedon's own mitigation plan built around blending in low-sulphur fly ash to displace shale, not scrubbing. A standalone wet scrubber was costed and rejected as disproportionately expensive against that substitution route.</w:t>
      </w:r>
    </w:p>
    <w:p>
      <w:pPr>
        <w:spacing w:after="180"/>
      </w:pPr>
      <w:r>
        <w:t xml:space="preserve">SO₂ is not a cosmetic problem for an amine plant, and the reason is chemical. The whole process depends on the reaction between CO₂ and the amine being reversible: a weak bond forms in the cool absorber and breaks apart again under heat in the stripper, so the same solvent molecule can cycle indefinitely. SO₂ is a far stronger acid than CO₂, and it doesn't form that kind of weak, reversible bond — it forms a genuine acid-base salt with the amine, stable enough that the stripper's normal operating heat cannot break it back apart. That portion of the solvent is gone for good: it stops absorbing CO₂, adds corrosion risk, and has to be topped up with fresh solvent — exactly the kind of unglamorous operating expense that erodes a capture project's economics quietly, over years, long after the ribbon-cutting.</w:t>
      </w:r>
    </w:p>
    <w:p>
      <w:pPr>
        <w:spacing w:after="180"/>
      </w:pPr>
      <w:r>
        <w:t xml:space="preserve">Industry practice puts a number on where this stops being worth tolerating: below roughly 10 parts per million of SO₂ at the absorber inlet, it is cheaper to accept the resulting solvent losses; above that, dedicated pretreatment pays for itself — a rule of thumb dating to Chapel et al. (1999) and still cited in current UK government solvent-degradation research. Proprietary blends, including Aker's, tend to specify limits nearer the tight end of that range, closer to 1 part per million, since a vendor standing behind a performance warranty wants a wider safety margin. A real feasibility study for Hope, reviewed by the local campaign group Hope Valley Climate Action, confirms the point directly: it evaluated five capture licensors and used one — Aker — as its representative design concept, and that design already carries a caustic-dosed pretreatment stage ahead of the absorber, standard equipment, not a hypothetical add-on, built to bring Hope's actual 600–800 mg/Nm³ (roughly 210–280 ppm) down into that tolerance band before the gas ever reaches the amine.</w:t>
      </w:r>
    </w:p>
    <w:p>
      <w:pPr>
        <w:pStyle w:val="Heading2"/>
        <w:spacing w:after="140" w:before="320"/>
      </w:pPr>
      <w:r>
        <w:t xml:space="preserve">OpEx, Not Capex, Is Where the Real Savings Are for Hope</w:t>
      </w:r>
    </w:p>
    <w:p>
      <w:pPr>
        <w:spacing w:after="180"/>
      </w:pPr>
      <w:r>
        <w:t xml:space="preserve">None of this argues for abandoning Breedon's decision. It argues for optimising it. Modelling Hope's amine plant as a fixed input — the same roughly £400m asset either way, standard sulphur pretreatment included — and asking what the smallest capital add-on meaningfully cuts its running cost points to two interventions: routing kiln waste heat directly into the amine reboiler's steam demand rather than converting it to electricity first, and battery storage to buffer the electrical load from CO₂ compression, insulating the project from the multi-year grid connection queues that have become one of the UK's more persistent decarbonisation bottlenecks. A third factor — the true cost of protecting the amine solvent from Hope's sulphur — turns out to already be priced into the baseline, not an add-on at all.</w:t>
      </w:r>
    </w:p>
    <w:p>
      <w:pPr>
        <w:spacing w:after="180"/>
      </w:pPr>
      <w:r>
        <w:t xml:space="preserve">The waste heat point is worth dwelling on, because it corrects a mistake that's easy to make with recovery schemes generally: converting it to electricity via an organic Rankine cycle turbine sounds appealing, but throws away roughly 80% of the recovered energy in the conversion. An amine reboiler needs steam, not electrons. Feeding recovered heat directly into that demand is a straightforward thermodynamic upgrade over the generation route — and notably, it sidesteps an objection Breedon itself raised in 2016, when it judged standalone combined-heat-and-power generation at Hope “not viable.” That conclusion was reached evaluating </w:t>
      </w:r>
      <w:r>
        <w:rPr>
          <w:b/>
          <w:bCs/>
          <w:i/>
          <w:iCs/>
        </w:rPr>
        <w:t xml:space="preserve">merchant power generation</w:t>
      </w:r>
      <w:r>
        <w:t xml:space="preserve">, not this narrower, more targeted use of direct thermal steam.</w:t>
      </w:r>
    </w:p>
    <w:p>
      <w:pPr>
        <w:spacing w:after="180"/>
      </w:pPr>
      <w:r>
        <w:rPr>
          <w:sz w:val="20"/>
          <w:szCs w:val="20"/>
        </w:rPr>
        <w:t xml:space="preserve">That same efficiency gap has a carbon dimension, and it runs in the same direction as the cost case — more sharply, in fact. An organic Rankine cycle turbine converts perhaps 15–20% of recovered heat to electricity; routing the same heat directly to the reboiler keeps roughly 85–90% of it useful. Modelled against Hope's own kiln — roughly 57 MWth of recoverable waste heat, delivering an estimated 387,000 MWh a year to the reboiler — that gap is worth about 81,000 tonnes of CO₂ a year avoided by displacing gas-boiler steam, against 9,000–12,000 tonnes a year the same heat would avoid if converted to electricity and used to displace grid power instead. Choosing the thermal route over the electrical one, in other words, is worth roughly an extra 70,000 tonnes of CO₂ a year — about 6% of the entire capture plant's 1.2 million tonne annual throughput, from a routing decision alone. Voldsund et al.'s CEMCAP analysis, cited above, makes a sharper point still: because a gas boiler's own flue gas isn't routed through the capture plant — mixing it with kiln exhaust would wreck the CO₂ concentration — its emissions sit outside the capture boundary entirely, which the paper flags as a direct drag on MEA capture's “equivalent specific CO₂ avoided.” Every unit of waste heat that displaces purchased boiler steam, in other words, isn't just cutting a cost line — it's closing a leak the capture plant itself can't see.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800"/>
      </w:tblGrid>
      <w:tr>
        <w:tc>
          <w:tcPr>
            <w:tcW w:type="dxa" w:w="2400"/>
            <w:shd w:fill="1F4E78" w:val="clear"/>
            <w:vAlign w:val="center"/>
          </w:tcPr>
          <w:p>
            <w:r>
              <w:rPr>
                <w:b/>
                <w:bCs/>
                <w:color w:val="FFFFFF"/>
                <w:sz w:val="20"/>
                <w:szCs w:val="20"/>
              </w:rPr>
              <w:t xml:space="preserve"/>
            </w:r>
          </w:p>
        </w:tc>
        <w:tc>
          <w:tcPr>
            <w:tcW w:type="dxa" w:w="2400"/>
            <w:shd w:fill="1F4E78" w:val="clear"/>
            <w:vAlign w:val="center"/>
          </w:tcPr>
          <w:p>
            <w:r>
              <w:rPr>
                <w:b/>
                <w:bCs/>
                <w:color w:val="FFFFFF"/>
                <w:sz w:val="20"/>
                <w:szCs w:val="20"/>
              </w:rPr>
              <w:t xml:space="preserve">As-Planned</w:t>
            </w:r>
          </w:p>
        </w:tc>
        <w:tc>
          <w:tcPr>
            <w:tcW w:type="dxa" w:w="2400"/>
            <w:shd w:fill="1F4E78" w:val="clear"/>
            <w:vAlign w:val="center"/>
          </w:tcPr>
          <w:p>
            <w:r>
              <w:rPr>
                <w:b/>
                <w:bCs/>
                <w:color w:val="FFFFFF"/>
                <w:sz w:val="20"/>
                <w:szCs w:val="20"/>
              </w:rPr>
              <w:t xml:space="preserve">Optimized</w:t>
            </w:r>
          </w:p>
        </w:tc>
      </w:tr>
      <w:tr>
        <w:tc>
          <w:tcPr>
            <w:tcW w:type="dxa" w:w="2400"/>
            <w:vAlign w:val="center"/>
          </w:tcPr>
          <w:p>
            <w:r>
              <w:rPr>
                <w:color w:val="000000"/>
                <w:sz w:val="20"/>
                <w:szCs w:val="20"/>
              </w:rPr>
              <w:t xml:space="preserve">All-in levelized cost, £/t CO₂</w:t>
            </w:r>
          </w:p>
        </w:tc>
        <w:tc>
          <w:tcPr>
            <w:tcW w:type="dxa" w:w="2400"/>
            <w:vAlign w:val="center"/>
          </w:tcPr>
          <w:p>
            <w:r>
              <w:rPr>
                <w:color w:val="000000"/>
                <w:sz w:val="20"/>
                <w:szCs w:val="20"/>
              </w:rPr>
              <w:t xml:space="preserve">£83.92</w:t>
            </w:r>
          </w:p>
        </w:tc>
        <w:tc>
          <w:tcPr>
            <w:tcW w:type="dxa" w:w="2400"/>
            <w:vAlign w:val="center"/>
          </w:tcPr>
          <w:p>
            <w:r>
              <w:rPr>
                <w:b/>
                <w:bCs/>
                <w:color w:val="000000"/>
                <w:sz w:val="20"/>
                <w:szCs w:val="20"/>
              </w:rPr>
              <w:t xml:space="preserve">£79.57</w:t>
            </w:r>
          </w:p>
        </w:tc>
      </w:tr>
      <w:tr>
        <w:tc>
          <w:tcPr>
            <w:tcW w:type="dxa" w:w="2400"/>
            <w:vAlign w:val="center"/>
          </w:tcPr>
          <w:p>
            <w:r>
              <w:rPr>
                <w:color w:val="000000"/>
                <w:sz w:val="20"/>
                <w:szCs w:val="20"/>
              </w:rPr>
              <w:t xml:space="preserve">Annual operating cost</w:t>
            </w:r>
          </w:p>
        </w:tc>
        <w:tc>
          <w:tcPr>
            <w:tcW w:type="dxa" w:w="2400"/>
            <w:vAlign w:val="center"/>
          </w:tcPr>
          <w:p>
            <w:r>
              <w:rPr>
                <w:color w:val="000000"/>
                <w:sz w:val="20"/>
                <w:szCs w:val="20"/>
              </w:rPr>
              <w:t xml:space="preserve">£60.0m</w:t>
            </w:r>
          </w:p>
        </w:tc>
        <w:tc>
          <w:tcPr>
            <w:tcW w:type="dxa" w:w="2400"/>
            <w:vAlign w:val="center"/>
          </w:tcPr>
          <w:p>
            <w:r>
              <w:rPr>
                <w:color w:val="000000"/>
                <w:sz w:val="20"/>
                <w:szCs w:val="20"/>
              </w:rPr>
              <w:t xml:space="preserve">£53.4m</w:t>
            </w:r>
          </w:p>
        </w:tc>
      </w:tr>
      <w:tr>
        <w:tc>
          <w:tcPr>
            <w:tcW w:type="dxa" w:w="2400"/>
            <w:vAlign w:val="center"/>
          </w:tcPr>
          <w:p>
            <w:r>
              <w:rPr>
                <w:color w:val="000000"/>
                <w:sz w:val="20"/>
                <w:szCs w:val="20"/>
              </w:rPr>
              <w:t xml:space="preserve">Incremental capex</w:t>
            </w:r>
          </w:p>
        </w:tc>
        <w:tc>
          <w:tcPr>
            <w:tcW w:type="dxa" w:w="2400"/>
            <w:vAlign w:val="center"/>
          </w:tcPr>
          <w:p>
            <w:r>
              <w:rPr>
                <w:color w:val="000000"/>
                <w:sz w:val="20"/>
                <w:szCs w:val="20"/>
              </w:rPr>
              <w:t xml:space="preserve">—</w:t>
            </w:r>
          </w:p>
        </w:tc>
        <w:tc>
          <w:tcPr>
            <w:tcW w:type="dxa" w:w="2400"/>
            <w:vAlign w:val="center"/>
          </w:tcPr>
          <w:p>
            <w:r>
              <w:rPr>
                <w:color w:val="000000"/>
                <w:sz w:val="20"/>
                <w:szCs w:val="20"/>
              </w:rPr>
              <w:t xml:space="preserve">£13.9m</w:t>
            </w:r>
          </w:p>
        </w:tc>
      </w:tr>
      <w:tr>
        <w:tc>
          <w:tcPr>
            <w:tcW w:type="dxa" w:w="2400"/>
            <w:vAlign w:val="center"/>
          </w:tcPr>
          <w:p>
            <w:r>
              <w:rPr>
                <w:color w:val="000000"/>
                <w:sz w:val="20"/>
                <w:szCs w:val="20"/>
              </w:rPr>
              <w:t xml:space="preserve">Simple payback</w:t>
            </w:r>
          </w:p>
        </w:tc>
        <w:tc>
          <w:tcPr>
            <w:tcW w:type="dxa" w:w="2400"/>
            <w:vAlign w:val="center"/>
          </w:tcPr>
          <w:p>
            <w:r>
              <w:rPr>
                <w:color w:val="000000"/>
                <w:sz w:val="20"/>
                <w:szCs w:val="20"/>
              </w:rPr>
              <w:t xml:space="preserve">—</w:t>
            </w:r>
          </w:p>
        </w:tc>
        <w:tc>
          <w:tcPr>
            <w:tcW w:type="dxa" w:w="2400"/>
            <w:vAlign w:val="center"/>
          </w:tcPr>
          <w:p>
            <w:r>
              <w:rPr>
                <w:b/>
                <w:bCs/>
                <w:color w:val="000000"/>
                <w:sz w:val="20"/>
                <w:szCs w:val="20"/>
              </w:rPr>
              <w:t xml:space="preserve">2.1 years</w:t>
            </w:r>
          </w:p>
        </w:tc>
      </w:tr>
    </w:tbl>
    <w:p>
      <w:pPr>
        <w:spacing w:after="180"/>
      </w:pPr>
      <w:r>
        <w:rPr>
          <w:sz w:val="20"/>
          <w:szCs w:val="20"/>
        </w:rPr>
        <w:t xml:space="preserve">A Monte Carlo sensitivity analysis puts the payback period at 1.5 to 3.8 years across the 10th-to-90th percentile range, with the optimised case beating the as-planned baseline in 99.9% of 10,000 simulated scenarios. Electricity price barely matters (both cases carry an identical electrical load, so tariff swings largely cancel out). The sulphur question, which drove most of the uncertainty in earlier versions of this analysis, turns out to resolve more cleanly than expected: a real feasibility document for Hope shows caustic-dosed pretreatment as a standard part of the design, already inside the £400m baseline, and the residual risk is narrower and better-defined than a generic capex placeholder — a roughly one-in-ten chance that a dedicated additional scrubber proves necessary, rather than a diffuse, unbounded cost overhang.</w:t>
      </w:r>
    </w:p>
    <w:p>
      <w:pPr>
        <w:pStyle w:val="Heading2"/>
        <w:spacing w:after="140" w:before="320"/>
      </w:pPr>
      <w:r>
        <w:t xml:space="preserve">The Broader Lesson</w:t>
      </w:r>
    </w:p>
    <w:p>
      <w:pPr>
        <w:spacing w:after="180"/>
      </w:pPr>
      <w:r>
        <w:t xml:space="preserve">None of this is an argument that oxy-fuel doesn't work. CEMCAP's pilot data is real, and for a site with a modern precalciner kiln — several exist within the Peak Cluster consortium itself — the concentrated-stream economics oxy-fuel offers are still the more compelling case on paper. The lesson from Hope is narrower and, in a sense, more useful: due diligence on decarbonisation retrofits has to start with the specific kiln, not the generic technology. A plant's calciner — or lack of one — decides more about its capture options than any cost curve drawn from a different site's process flow diagram.</w:t>
      </w:r>
    </w:p>
    <w:p>
      <w:pPr>
        <w:spacing w:after="180"/>
      </w:pPr>
      <w:r>
        <w:t xml:space="preserve">For an industry under real pressure to move fast on decarbonisation, that's an unglamorous but important discipline. The most defensible capital project at Hope right now isn't the one with the most exciting technology attached to it. It's the one that makes the £400m decision Breedon has already made a little cheaper to run.</w:t>
      </w:r>
    </w:p>
    <w:p>
      <w:pPr>
        <w:spacing w:after="300"/>
      </w:pPr>
    </w:p>
    <w:p>
      <w:pPr>
        <w:spacing w:after="180"/>
      </w:pPr>
      <w:r>
        <w:rPr>
          <w:i/>
          <w:iCs/>
          <w:color w:val="666666"/>
          <w:sz w:val="18"/>
          <w:szCs w:val="18"/>
        </w:rPr>
        <w:t xml:space="preserve">Sources: Hope Valley Climate Action (hopevalleyclimateaction.org.uk), including the August 2024 HVCA discussion document on a WSP/Aker feasibility study for Hope; UK Environment Agency permit decision documentation for Hope Cement Works (EPR/BP3731VJ), including the 2017 Decision Document; Peak Cluster (peakcluster.co.uk); EU CEMCAP project public deliverables, CORDIS grant agreement 641185; Biermann, Anantharaman &amp; Harvey (2018), International Journal of Greenhouse Gas Control, 74, 219–228; Voldsund, Gardarsdottir et al. (2019), Energies, 12(3), 542; UK Government TERC/University of Sheffield (2023), DESNZ CCUS Innovation 2.0 programme; UK Government GHG Conversion Factors for Company Reporting (DESNZ, 2025/26); National Grid ESO / Carbon Brief UK electricity carbon intensity data (2025–26); UK ETS Authority. Financial modelling and Monte Carlo analysis available on request.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DRAFT — FOR EDITORIAL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2026-08-15T20:24:20.711Z</dcterms:created>
  <dcterms:modified xsi:type="dcterms:W3CDTF">2026-08-15T20:24:20.711Z</dcterms:modified>
</cp:coreProperties>
</file>

<file path=docProps/custom.xml><?xml version="1.0" encoding="utf-8"?>
<Properties xmlns="http://schemas.openxmlformats.org/officeDocument/2006/custom-properties" xmlns:vt="http://schemas.openxmlformats.org/officeDocument/2006/docPropsVTypes"/>
</file>